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color w:val="000000"/>
          <w:sz w:val="22"/>
        </w:rPr>
        <w:t xml:space="preserve">Discovery procedures.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1.509, 1.510, and 1.512 may be served within 40 days of the scheduled hearing. All discovery must be completed no later than 15 days before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2506.13(5)</w:t>
      </w:r>
      <w:r>
        <w:rPr>
          <w:rFonts w:ascii="Times New Roman" w:hAnsi="Times New Roman"/>
          <w:b w:val="false"/>
          <w:i w:val="false"/>
          <w:color w:val="000000"/>
          <w:sz w:val="22"/>
        </w:rPr>
        <w:t> </w:t>
      </w:r>
      <w:r>
        <w:rPr>
          <w:rFonts w:ascii="Times New Roman" w:hAnsi="Times New Roman"/>
          <w:b w:val="false"/>
          <w:i/>
          <w:color w:val="000000"/>
          <w:sz w:val="22"/>
        </w:rPr>
        <w:t xml:space="preserve">Notice of discovery. </w:t>
      </w:r>
      <w:r>
        <w:rPr>
          <w:rFonts w:ascii="Times New Roman" w:hAnsi="Times New Roman"/>
          <w:b w:val="false"/>
          <w:i w:val="false"/>
          <w:color w:val="000000"/>
          <w:sz w:val="22"/>
        </w:rPr>
        <w:t xml:space="preserve">Discovery is only permitted after a party has filed, pursuant to rule </w:t>
      </w:r>
      <w:hyperlink r:id="rId4">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a notice of discovery no later than 15 days after the filing of an answer unless extended by the presiding officer for good cause shown or by agreement of the parties. The notice of discovery shall be a general notice that the party is serving discovery. The notice should include a statement regarding the type of discovery being conducted and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2506.13(6)</w:t>
      </w:r>
      <w:r>
        <w:rPr>
          <w:rFonts w:ascii="Times New Roman" w:hAnsi="Times New Roman"/>
          <w:b w:val="false"/>
          <w:i w:val="false"/>
          <w:color w:val="000000"/>
          <w:sz w:val="22"/>
        </w:rPr>
        <w:t> </w:t>
      </w:r>
      <w:r>
        <w:rPr>
          <w:rFonts w:ascii="Times New Roman" w:hAnsi="Times New Roman"/>
          <w:b w:val="false"/>
          <w:i/>
          <w:color w:val="000000"/>
          <w:sz w:val="22"/>
        </w:rPr>
        <w:t xml:space="preserve">Discovery responses. </w:t>
      </w:r>
      <w:r>
        <w:rPr>
          <w:rFonts w:ascii="Times New Roman" w:hAnsi="Times New Roman"/>
          <w:b w:val="false"/>
          <w:i w:val="false"/>
          <w:color w:val="000000"/>
          <w:sz w:val="22"/>
        </w:rPr>
        <w:t>Parties must respond to discovery within 15 days of receipt unless the parties mutually agree there is good cause to lengthen the response period or by order of the presiding officer. Time periods for compliance with discovery may be lengthened or shortened by order of the presiding officer.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0385D</w:t>
      </w:r>
      <w:r>
        <w:rPr>
          <w:rFonts w:ascii="Times New Roman" w:hAnsi="Times New Roman"/>
          <w:b w:val="false"/>
          <w:i w:val="false"/>
          <w:color w:val="000000"/>
          <w:sz w:val="16"/>
        </w:rPr>
        <w:t>, IAB 6/24/26, effective 6/4/26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