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161—2506.26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commission does not preside over receiving evidence, the presiding officer will issue a proposed decision. The proposed decision becomes the final decision of the commission without further proceedings unless there is an appeal of the proposed decision to the commission, or review of the proposed decision on the commission’s own motion, in accordance with rule </w:t>
      </w:r>
      <w:hyperlink r:id="rId4">
        <w:r>
          <w:rPr>
            <w:rStyle w:val="Hyperlink"/>
            <w:rFonts w:ascii="Times New Roman" w:hAnsi="Times New Roman"/>
            <w:b w:val="false"/>
            <w:i w:val="false"/>
            <w:color w:val="000000"/>
            <w:sz w:val="22"/>
          </w:rPr>
          <w:t>161—2506.27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0377D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61.2506.2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