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761—511.5</w:t>
      </w:r>
      <w:r>
        <w:rPr>
          <w:rFonts w:ascii="Times New Roman" w:hAnsi="Times New Roman"/>
          <w:b/>
          <w:i w:val="false"/>
          <w:color w:val="000000"/>
          <w:sz w:val="22"/>
        </w:rPr>
        <w:t xml:space="preserve">(321,321E) </w:t>
      </w:r>
      <w:r>
        <w:rPr>
          <w:rFonts w:ascii="Times New Roman" w:hAnsi="Times New Roman"/>
          <w:b/>
          <w:i w:val="false"/>
          <w:color w:val="000000"/>
          <w:sz w:val="22"/>
        </w:rPr>
        <w:t xml:space="preserve">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w:t>
      </w:r>
      <w:r>
        <w:rPr>
          <w:rFonts w:ascii="Times New Roman" w:hAnsi="Times New Roman"/>
          <w:b w:val="false"/>
          <w:i w:val="false"/>
          <w:color w:val="000000"/>
          <w:sz w:val="22"/>
        </w:rPr>
        <w:t> </w:t>
      </w:r>
      <w:r>
        <w:rPr>
          <w:rFonts w:ascii="Times New Roman" w:hAnsi="Times New Roman"/>
          <w:b w:val="false"/>
          <w:i/>
          <w:color w:val="000000"/>
          <w:sz w:val="22"/>
        </w:rPr>
        <w:t xml:space="preserve">Issuance and payment. </w:t>
      </w:r>
      <w:r>
        <w:rPr>
          <w:rFonts w:ascii="Times New Roman" w:hAnsi="Times New Roman"/>
          <w:b w:val="false"/>
          <w:i w:val="false"/>
          <w:color w:val="000000"/>
          <w:sz w:val="22"/>
        </w:rPr>
        <w:t>A permit will not be issued until the required fees and costs are paid in the manner and format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511.5(2)</w:t>
      </w:r>
      <w:r>
        <w:rPr>
          <w:rFonts w:ascii="Times New Roman" w:hAnsi="Times New Roman"/>
          <w:b w:val="false"/>
          <w:i w:val="false"/>
          <w:color w:val="000000"/>
          <w:sz w:val="22"/>
        </w:rPr>
        <w:t> </w:t>
      </w:r>
      <w:r>
        <w:rPr>
          <w:rFonts w:ascii="Times New Roman" w:hAnsi="Times New Roman"/>
          <w:b w:val="false"/>
          <w:i/>
          <w:color w:val="000000"/>
          <w:sz w:val="22"/>
        </w:rPr>
        <w:t xml:space="preserve">Special or emergency oversize permit for certain divisible loads. </w:t>
      </w:r>
      <w:r>
        <w:rPr>
          <w:rFonts w:ascii="Times New Roman" w:hAnsi="Times New Roman"/>
          <w:b w:val="false"/>
          <w:i w:val="false"/>
          <w:color w:val="000000"/>
          <w:sz w:val="22"/>
        </w:rPr>
        <w:t xml:space="preserve">The fee for each single-trip permit issued pursuant to Iowa Code section </w:t>
      </w:r>
      <w:hyperlink r:id="rId4">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is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511.5(3)</w:t>
      </w:r>
      <w:r>
        <w:rPr>
          <w:rFonts w:ascii="Times New Roman" w:hAnsi="Times New Roman"/>
          <w:b w:val="false"/>
          <w:i w:val="false"/>
          <w:color w:val="000000"/>
          <w:sz w:val="22"/>
        </w:rPr>
        <w:t> </w:t>
      </w:r>
      <w:r>
        <w:rPr>
          <w:rFonts w:ascii="Times New Roman" w:hAnsi="Times New Roman"/>
          <w:b w:val="false"/>
          <w:i/>
          <w:color w:val="000000"/>
          <w:sz w:val="22"/>
        </w:rPr>
        <w:t xml:space="preserve">Permit transfers. </w:t>
      </w:r>
      <w:r>
        <w:rPr>
          <w:rFonts w:ascii="Times New Roman" w:hAnsi="Times New Roman"/>
          <w:b w:val="false"/>
          <w:i w:val="false"/>
          <w:color w:val="000000"/>
          <w:sz w:val="22"/>
        </w:rPr>
        <w:t>The department may allow transfer of the following permit types to a replacement vehicle when the original vehicle has been damaged in an accident, junked or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oversize/overweight.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all-systems overweight.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Annual small crane.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511.5(4)</w:t>
      </w:r>
      <w:r>
        <w:rPr>
          <w:rFonts w:ascii="Times New Roman" w:hAnsi="Times New Roman"/>
          <w:b w:val="false"/>
          <w:i w:val="false"/>
          <w:color w:val="000000"/>
          <w:sz w:val="22"/>
        </w:rPr>
        <w:t> </w:t>
      </w:r>
      <w:r>
        <w:rPr>
          <w:rFonts w:ascii="Times New Roman" w:hAnsi="Times New Roman"/>
          <w:b w:val="false"/>
          <w:i/>
          <w:color w:val="000000"/>
          <w:sz w:val="22"/>
        </w:rPr>
        <w:t xml:space="preserve">Duplicate permit. </w:t>
      </w:r>
      <w:r>
        <w:rPr>
          <w:rFonts w:ascii="Times New Roman" w:hAnsi="Times New Roman"/>
          <w:b w:val="false"/>
          <w:i w:val="false"/>
          <w:color w:val="000000"/>
          <w:sz w:val="22"/>
        </w:rPr>
        <w:t>The fee for a duplicate permit is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511.5(5)</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for single-trip permits. </w:t>
      </w:r>
      <w:r>
        <w:rPr>
          <w:rFonts w:ascii="Times New Roman" w:hAnsi="Times New Roman"/>
          <w:b w:val="false"/>
          <w:i w:val="false"/>
          <w:color w:val="000000"/>
          <w:sz w:val="22"/>
        </w:rPr>
        <w:t xml:space="preserve">A vehicle traveling under a single-trip permit may register with the department for the combined gross weight of the vehicle and load on a single-trip basis, upon payment of the applicable statutory fees, pursuant to Iowa Code section </w:t>
      </w:r>
      <w:hyperlink r:id="rId5">
        <w:r>
          <w:rPr>
            <w:rStyle w:val="Hyperlink"/>
            <w:rFonts w:ascii="Times New Roman" w:hAnsi="Times New Roman"/>
            <w:b w:val="false"/>
            <w:i w:val="false"/>
            <w:color w:val="000000"/>
            <w:sz w:val="22"/>
          </w:rPr>
          <w:t>321E.12</w:t>
        </w:r>
      </w:hyperlink>
      <w:r>
        <w:rPr>
          <w:rFonts w:ascii="Times New Roman" w:hAnsi="Times New Roman"/>
          <w:b w:val="false"/>
          <w:i w:val="false"/>
          <w:color w:val="000000"/>
          <w:sz w:val="22"/>
        </w:rPr>
        <w:t>. The department may access Iowa registration records to determine the weight for which the vehicle is currently registered prior to assessing the statutory fee under this subrule. The fee for single-trip registration is $4 per ton exceeding 40 tons.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511.5(6)</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for vehicles transporting buildings other than mobile homes or factory-built structures. </w:t>
      </w:r>
      <w:r>
        <w:rPr>
          <w:rFonts w:ascii="Times New Roman" w:hAnsi="Times New Roman"/>
          <w:b w:val="false"/>
          <w:i w:val="false"/>
          <w:color w:val="000000"/>
          <w:sz w:val="22"/>
        </w:rPr>
        <w:t xml:space="preserve">A registration fee will be charged for vehicles transporting buildings, except mobile homes and factory-built structures, on a single-trip basis. The vehicle shall be registered for the combined gross weight of the vehicle and load, and the fee is 5 cents per ton exceeding the weight registered under Iowa Code section </w:t>
      </w:r>
      <w:hyperlink r:id="rId6">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per mile of travel. Fees will not be prorated for fractions of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511.5(7)</w:t>
      </w:r>
      <w:r>
        <w:rPr>
          <w:rFonts w:ascii="Times New Roman" w:hAnsi="Times New Roman"/>
          <w:b w:val="false"/>
          <w:i w:val="false"/>
          <w:color w:val="000000"/>
          <w:sz w:val="22"/>
        </w:rPr>
        <w:t> </w:t>
      </w:r>
      <w:r>
        <w:rPr>
          <w:rFonts w:ascii="Times New Roman" w:hAnsi="Times New Roman"/>
          <w:b w:val="false"/>
          <w:i/>
          <w:color w:val="000000"/>
          <w:sz w:val="22"/>
        </w:rPr>
        <w:t xml:space="preserve">Fair and reasonable costs. </w:t>
      </w:r>
      <w:r>
        <w:rPr>
          <w:rFonts w:ascii="Times New Roman" w:hAnsi="Times New Roman"/>
          <w:b w:val="false"/>
          <w:i w:val="false"/>
          <w:color w:val="000000"/>
          <w:sz w:val="22"/>
        </w:rPr>
        <w:t>Permit-issuing authorities may charge any 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fair and reasonable cost for the removal and replacement of natural obstructions or official signs and signals.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fair and reasonable cost for measures necessary to avoid damage to public property including structures and bridges.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321.12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321E.12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321E.14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321E.29</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321E.29A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321E.30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E.9.pdf" Type="http://schemas.openxmlformats.org/officeDocument/2006/relationships/hyperlink" Id="rId4"/>
    <Relationship TargetMode="External" Target="https://www.legis.iowa.gov/docs/ico/chapter/321E.12.pdf" Type="http://schemas.openxmlformats.org/officeDocument/2006/relationships/hyperlink" Id="rId5"/>
    <Relationship TargetMode="External" Target="https://www.legis.iowa.gov/docs/ico/chapter/321.122.pdf" Type="http://schemas.openxmlformats.org/officeDocument/2006/relationships/hyperlink" Id="rId6"/>
    <Relationship TargetMode="External" Target="https://www.legis.iowa.gov/docs/ico/chapter/321.12.pdf" Type="http://schemas.openxmlformats.org/officeDocument/2006/relationships/hyperlink" Id="rId7"/>
    <Relationship TargetMode="External" Target="https://www.legis.iowa.gov/docs/ico/chapter/321.122.pdf" Type="http://schemas.openxmlformats.org/officeDocument/2006/relationships/hyperlink" Id="rId8"/>
    <Relationship TargetMode="External" Target="https://www.legis.iowa.gov/docs/ico/chapter/321E.8.pdf" Type="http://schemas.openxmlformats.org/officeDocument/2006/relationships/hyperlink" Id="rId9"/>
    <Relationship TargetMode="External" Target="https://www.legis.iowa.gov/docs/ico/chapter/321E.9.pdf" Type="http://schemas.openxmlformats.org/officeDocument/2006/relationships/hyperlink" Id="rId10"/>
    <Relationship TargetMode="External" Target="https://www.legis.iowa.gov/docs/ico/chapter/321E.12.pdf" Type="http://schemas.openxmlformats.org/officeDocument/2006/relationships/hyperlink" Id="rId11"/>
    <Relationship TargetMode="External" Target="https://www.legis.iowa.gov/docs/ico/chapter/321E.14.pdf" Type="http://schemas.openxmlformats.org/officeDocument/2006/relationships/hyperlink" Id="rId12"/>
    <Relationship TargetMode="External" Target="https://www.legis.iowa.gov/docs/ico/chapter/321E.15.pdf" Type="http://schemas.openxmlformats.org/officeDocument/2006/relationships/hyperlink" Id="rId13"/>
    <Relationship TargetMode="External" Target="https://www.legis.iowa.gov/docs/ico/chapter/321E.29.pdf" Type="http://schemas.openxmlformats.org/officeDocument/2006/relationships/hyperlink" Id="rId14"/>
    <Relationship TargetMode="External" Target="https://www.legis.iowa.gov/docs/ico/chapter/321E.29A.pdf" Type="http://schemas.openxmlformats.org/officeDocument/2006/relationships/hyperlink" Id="rId15"/>
    <Relationship TargetMode="External" Target="https://www.legis.iowa.gov/docs/ico/chapter/321E.30.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