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761—511.4</w:t>
      </w:r>
      <w:r>
        <w:rPr>
          <w:rFonts w:ascii="Times New Roman" w:hAnsi="Times New Roman"/>
          <w:b/>
          <w:i w:val="false"/>
          <w:color w:val="000000"/>
          <w:sz w:val="22"/>
        </w:rPr>
        <w:t xml:space="preserve">(321E) </w:t>
      </w:r>
      <w:r>
        <w:rPr>
          <w:rFonts w:ascii="Times New Roman" w:hAnsi="Times New Roman"/>
          <w:b/>
          <w:i w:val="false"/>
          <w:color w:val="000000"/>
          <w:sz w:val="22"/>
        </w:rPr>
        <w:t xml:space="preserve">Permits. </w:t>
      </w:r>
      <w:r>
        <w:rPr>
          <w:rFonts w:ascii="Times New Roman" w:hAnsi="Times New Roman"/>
          <w:b w:val="false"/>
          <w:i w:val="false"/>
          <w:color w:val="000000"/>
          <w:sz w:val="22"/>
        </w:rPr>
        <w:t>The department may issue permits in writing or in electronic format, including single-trip, multitrip, annual oversize, annual oversize/overweight, annual raw forest products, annual small crane, compacted rubbish, emergency interstate, annual fluid milk products, annual all-systems oversize, or annual all-systems overweight permits.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511.4(1)</w:t>
      </w:r>
      <w:r>
        <w:rPr>
          <w:rFonts w:ascii="Times New Roman" w:hAnsi="Times New Roman"/>
          <w:b w:val="false"/>
          <w:i w:val="false"/>
          <w:color w:val="000000"/>
          <w:sz w:val="22"/>
        </w:rPr>
        <w:t> </w:t>
      </w:r>
      <w:r>
        <w:rPr>
          <w:rFonts w:ascii="Times New Roman" w:hAnsi="Times New Roman"/>
          <w:b w:val="false"/>
          <w:i/>
          <w:color w:val="000000"/>
          <w:sz w:val="22"/>
        </w:rPr>
        <w:t xml:space="preserve">Methods of issuance. </w:t>
      </w:r>
      <w:r>
        <w:rPr>
          <w:rFonts w:ascii="Times New Roman" w:hAnsi="Times New Roman"/>
          <w:b w:val="false"/>
          <w:i w:val="false"/>
          <w:color w:val="000000"/>
          <w:sz w:val="22"/>
        </w:rPr>
        <w:t xml:space="preserve">Permits for movement on the primary road system may be obtained in person, by facsimile, online, or by mail at the address in subrule </w:t>
      </w:r>
      <w:hyperlink r:id="rId4">
        <w:r>
          <w:rPr>
            <w:rStyle w:val="Hyperlink"/>
            <w:rFonts w:ascii="Times New Roman" w:hAnsi="Times New Roman"/>
            <w:b w:val="false"/>
            <w:i w:val="false"/>
            <w:color w:val="000000"/>
            <w:sz w:val="22"/>
          </w:rPr>
          <w:t>511.2(1)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511.4(2)</w:t>
      </w:r>
      <w:r>
        <w:rPr>
          <w:rFonts w:ascii="Times New Roman" w:hAnsi="Times New Roman"/>
          <w:b w:val="false"/>
          <w:i w:val="false"/>
          <w:color w:val="000000"/>
          <w:sz w:val="22"/>
        </w:rPr>
        <w:t> </w:t>
      </w:r>
      <w:r>
        <w:rPr>
          <w:rFonts w:ascii="Times New Roman" w:hAnsi="Times New Roman"/>
          <w:b w:val="false"/>
          <w:i/>
          <w:color w:val="000000"/>
          <w:sz w:val="22"/>
        </w:rPr>
        <w:t xml:space="preserve">Forms.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accept applications for permits for movement on the primary road system online or in the form and manner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Other permit-issuing authorities receiving applications made upon department forms must deem the applications sufficient and properly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Subject to the preceding paragraph, permit-issuing authorities may adopt, amend or modify department forms provided that the amended or modified forms adequately identify the applicant, the hauling vehicle and load, the manner and extent that the vehicle with load exceeds the statutory size and weight limits, the route, and the authorization of the issuing authority. However, the load for a multitrip permit does not have to be identified but the vehicle and load cannot exceed either the weight per axle or the total weight identified on the multitrip permit. Axle spacings cannot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511.4(3)</w:t>
      </w:r>
      <w:r>
        <w:rPr>
          <w:rFonts w:ascii="Times New Roman" w:hAnsi="Times New Roman"/>
          <w:b w:val="false"/>
          <w:i w:val="false"/>
          <w:color w:val="000000"/>
          <w:sz w:val="22"/>
        </w:rPr>
        <w:t> </w:t>
      </w:r>
      <w:r>
        <w:rPr>
          <w:rFonts w:ascii="Times New Roman" w:hAnsi="Times New Roman"/>
          <w:b w:val="false"/>
          <w:i/>
          <w:color w:val="000000"/>
          <w:sz w:val="22"/>
        </w:rPr>
        <w:t xml:space="preserve">Validity.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Annual oversize, annual oversize/overweight, annual raw forest products, annual small crane, compacted rubbish, annual fluid milk products, annual all-systems oversize, and annual all-systems overweight permits expire one year from 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single-trip permit is effective for five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validity of a multitrip permit does not exceed 60 calendar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Emergency interstate permits issued under Iowa Code section </w:t>
      </w:r>
      <w:hyperlink r:id="rId5">
        <w:r>
          <w:rPr>
            <w:rStyle w:val="Hyperlink"/>
            <w:rFonts w:ascii="Times New Roman" w:hAnsi="Times New Roman"/>
            <w:b w:val="false"/>
            <w:i w:val="false"/>
            <w:color w:val="000000"/>
            <w:sz w:val="22"/>
          </w:rPr>
          <w:t>321E.27</w:t>
        </w:r>
      </w:hyperlink>
      <w:r>
        <w:rPr>
          <w:rFonts w:ascii="Times New Roman" w:hAnsi="Times New Roman"/>
          <w:b w:val="false"/>
          <w:i w:val="false"/>
          <w:color w:val="000000"/>
          <w:sz w:val="22"/>
        </w:rPr>
        <w:t xml:space="preserve"> are effective for 30 calendar days. However, the permit will not be valid past the expiration of the applicable governor’s proclamation of disaster emergency issued under Iowa Code section </w:t>
      </w:r>
      <w:hyperlink r:id="rId6">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 xml:space="preserve"> in conjunction with the presidential declaration allowing interstate travel under the Stafford Act or the expiration of the declaration of major disaster under the Stafford Act, whichever expires first.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511.4(4)</w:t>
      </w:r>
      <w:r>
        <w:rPr>
          <w:rFonts w:ascii="Times New Roman" w:hAnsi="Times New Roman"/>
          <w:b w:val="false"/>
          <w:i w:val="false"/>
          <w:color w:val="000000"/>
          <w:sz w:val="22"/>
        </w:rPr>
        <w:t> </w:t>
      </w:r>
      <w:r>
        <w:rPr>
          <w:rFonts w:ascii="Times New Roman" w:hAnsi="Times New Roman"/>
          <w:b w:val="false"/>
          <w:i/>
          <w:color w:val="000000"/>
          <w:sz w:val="22"/>
        </w:rPr>
        <w:t xml:space="preserve">Duplicate permit. </w:t>
      </w:r>
      <w:r>
        <w:rPr>
          <w:rFonts w:ascii="Times New Roman" w:hAnsi="Times New Roman"/>
          <w:b w:val="false"/>
          <w:i w:val="false"/>
          <w:color w:val="000000"/>
          <w:sz w:val="22"/>
        </w:rPr>
        <w:t>If a permit is lost or destroyed before it has expired, a duplicate permit may be issued at the discretion of the permit-issuing authority. The expiration date on the duplicate permit will be the same as on the original permit.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
        <w:r>
          <w:rPr>
            <w:rStyle w:val="Hyperlink"/>
            <w:rFonts w:ascii="Times New Roman" w:hAnsi="Times New Roman"/>
            <w:b w:val="false"/>
            <w:i w:val="false"/>
            <w:color w:val="000000"/>
            <w:sz w:val="22"/>
          </w:rPr>
          <w:t>321E.2</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321E.3, </w:t>
        </w:r>
      </w:hyperlink>
      <w:hyperlink r:id="rId9">
        <w:r>
          <w:rPr>
            <w:rStyle w:val="Hyperlink"/>
            <w:rFonts w:ascii="Times New Roman" w:hAnsi="Times New Roman"/>
            <w:b w:val="false"/>
            <w:i w:val="false"/>
            <w:color w:val="000000"/>
            <w:sz w:val="22"/>
          </w:rPr>
          <w:t>321E.8</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321E.9</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321E.15</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321E.29B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9512C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 xml:space="preserve">; </w:t>
      </w:r>
      <w:r>
        <w:rPr>
          <w:rFonts w:ascii="Times New Roman" w:hAnsi="Times New Roman"/>
          <w:b/>
          <w:i w:val="false"/>
          <w:color w:val="000000"/>
          <w:sz w:val="16"/>
        </w:rPr>
        <w:t>ARC 0327D</w:t>
      </w:r>
      <w:r>
        <w:rPr>
          <w:rFonts w:ascii="Times New Roman" w:hAnsi="Times New Roman"/>
          <w:b w:val="false"/>
          <w:i w:val="false"/>
          <w:color w:val="000000"/>
          <w:sz w:val="16"/>
        </w:rPr>
        <w:t>, IAB 6/10/26, effective 7/15/26</w:t>
      </w:r>
      <w:r>
        <w:rPr>
          <w:rFonts w:ascii="Times New Roman" w:hAnsi="Times New Roman"/>
          <w:b w:val="false"/>
          <w:i w:val="false"/>
          <w:color w:val="000000"/>
          <w:sz w:val="16"/>
        </w:rPr>
        <w:t>]</w:t>
      </w:r>
    </w:p>
    <w:sectPr>
      <w:footerReference r:id="rId1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61.511.2.pdf" Type="http://schemas.openxmlformats.org/officeDocument/2006/relationships/hyperlink" Id="rId4"/>
    <Relationship TargetMode="External" Target="https://www.legis.iowa.gov/docs/ico/chapter/321E.27.pdf" Type="http://schemas.openxmlformats.org/officeDocument/2006/relationships/hyperlink" Id="rId5"/>
    <Relationship TargetMode="External" Target="https://www.legis.iowa.gov/docs/ico/chapter/29C.6.pdf" Type="http://schemas.openxmlformats.org/officeDocument/2006/relationships/hyperlink" Id="rId6"/>
    <Relationship TargetMode="External" Target="https://www.legis.iowa.gov/docs/ico/chapter/321E.2.pdf" Type="http://schemas.openxmlformats.org/officeDocument/2006/relationships/hyperlink" Id="rId7"/>
    <Relationship TargetMode="External" Target="https://www.legis.iowa.gov/docs/ico/chapter/321E.3.pdf" Type="http://schemas.openxmlformats.org/officeDocument/2006/relationships/hyperlink" Id="rId8"/>
    <Relationship TargetMode="External" Target="https://www.legis.iowa.gov/docs/ico/chapter/321E.8.pdf" Type="http://schemas.openxmlformats.org/officeDocument/2006/relationships/hyperlink" Id="rId9"/>
    <Relationship TargetMode="External" Target="https://www.legis.iowa.gov/docs/ico/chapter/321E.9.pdf" Type="http://schemas.openxmlformats.org/officeDocument/2006/relationships/hyperlink" Id="rId10"/>
    <Relationship TargetMode="External" Target="https://www.legis.iowa.gov/docs/ico/chapter/321E.15.pdf" Type="http://schemas.openxmlformats.org/officeDocument/2006/relationships/hyperlink" Id="rId11"/>
    <Relationship TargetMode="External" Target="https://www.legis.iowa.gov/docs/ico/chapter/321E.29B.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