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761—511.22</w:t>
      </w:r>
      <w:r>
        <w:rPr>
          <w:rFonts w:ascii="Times New Roman" w:hAnsi="Times New Roman"/>
          <w:b/>
          <w:i w:val="false"/>
          <w:color w:val="000000"/>
          <w:sz w:val="22"/>
        </w:rPr>
        <w:t xml:space="preserve">(321) </w:t>
      </w:r>
      <w:r>
        <w:rPr>
          <w:rFonts w:ascii="Times New Roman" w:hAnsi="Times New Roman"/>
          <w:b/>
          <w:i w:val="false"/>
          <w:color w:val="000000"/>
          <w:sz w:val="22"/>
        </w:rPr>
        <w:t xml:space="preserve">Movement of combination vehicles on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 its discretion establish economic export corridors for the transportation of goods or products manufactured in Iowa to or through the state of South Dakota and for the return of unladen semitrailers or unladen full trailers used for the transportation of those goods or products. An economic export corridor does not include any segment of the interstate system or any part of the national network of highways identified pursuant to </w:t>
      </w:r>
      <w:r>
        <w:rPr>
          <w:rFonts w:ascii="Times New Roman" w:hAnsi="Times New Roman"/>
          <w:b w:val="false"/>
          <w:i w:val="false"/>
          <w:color w:val="000000"/>
          <w:sz w:val="22"/>
        </w:rPr>
        <w:t>23 CFR Part 658</w:t>
      </w:r>
      <w:r>
        <w:rPr>
          <w:rFonts w:ascii="Times New Roman" w:hAnsi="Times New Roman"/>
          <w:b w:val="false"/>
          <w:i w:val="false"/>
          <w:color w:val="000000"/>
          <w:sz w:val="22"/>
        </w:rPr>
        <w:t>, effective April 1, 2025. However, if appropriate, the department may petition the Federal Highway Administration to remove a road or road segment from the national network of highways for the purpose of including it in an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initiate designation of economic export corridors, or a request for economic export corridor designation may be submitted to the department by an interested party. If a proposed economic export corridor includes any roads or road segments that are under the jurisdiction of a city or a county, a resolution from all relevant local jurisdictions is to be submitted to the department indicating jurisdiction support for economic export corridor designation. The resolution is to include a description of the proposed economic export corridor under local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exercise due regard for the safety of the traveling public and the protection of the highway surfaces and structures when establishing an economic export corridor. Factors to be considered include ability of the proposed economic export corridor to safely accommodate combinations of vehicles described in subrule </w:t>
      </w:r>
      <w:hyperlink r:id="rId4">
        <w:r>
          <w:rPr>
            <w:rStyle w:val="Hyperlink"/>
            <w:rFonts w:ascii="Times New Roman" w:hAnsi="Times New Roman"/>
            <w:b w:val="false"/>
            <w:i w:val="false"/>
            <w:color w:val="000000"/>
            <w:sz w:val="22"/>
          </w:rPr>
          <w:t>511.22(2)</w:t>
        </w:r>
      </w:hyperlink>
      <w:r>
        <w:rPr>
          <w:rFonts w:ascii="Times New Roman" w:hAnsi="Times New Roman"/>
          <w:b w:val="false"/>
          <w:i w:val="false"/>
          <w:color w:val="000000"/>
          <w:sz w:val="22"/>
        </w:rPr>
        <w:t>, taking into account physical configurations and restrictions and traffic demands and capacity, as well as connection to markets that will benefit from the established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established economic export corridors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511.22(2)</w:t>
      </w:r>
      <w:r>
        <w:rPr>
          <w:rFonts w:ascii="Times New Roman" w:hAnsi="Times New Roman"/>
          <w:b w:val="false"/>
          <w:i w:val="false"/>
          <w:color w:val="000000"/>
          <w:sz w:val="22"/>
        </w:rPr>
        <w:t> </w:t>
      </w:r>
      <w:r>
        <w:rPr>
          <w:rFonts w:ascii="Times New Roman" w:hAnsi="Times New Roman"/>
          <w:b w:val="false"/>
          <w:i/>
          <w:color w:val="000000"/>
          <w:sz w:val="22"/>
        </w:rPr>
        <w:t xml:space="preserve">Combination vehicles that may be operated on an economic export corridor.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combinations of vehicles lawful for operation on roads or road segments not designated as an economic export corridor, the following combinations of vehicles may be operated on an economic export corridor designated under subrule </w:t>
      </w:r>
      <w:hyperlink r:id="rId5">
        <w:r>
          <w:rPr>
            <w:rStyle w:val="Hyperlink"/>
            <w:rFonts w:ascii="Times New Roman" w:hAnsi="Times New Roman"/>
            <w:b w:val="false"/>
            <w:i w:val="false"/>
            <w:color w:val="000000"/>
            <w:sz w:val="22"/>
          </w:rPr>
          <w:t>511.22(1)</w:t>
        </w:r>
      </w:hyperlink>
      <w:r>
        <w:rPr>
          <w:rFonts w:ascii="Times New Roman" w:hAnsi="Times New Roman"/>
          <w:b w:val="false"/>
          <w:i w:val="false"/>
          <w:color w:val="000000"/>
          <w:sz w:val="22"/>
        </w:rPr>
        <w:t xml:space="preserve"> if the combinations of vehicles meet the requirements in paragraph </w:t>
      </w:r>
      <w:hyperlink r:id="rId6">
        <w:r>
          <w:rPr>
            <w:rStyle w:val="Hyperlink"/>
            <w:rFonts w:ascii="Times New Roman" w:hAnsi="Times New Roman"/>
            <w:b w:val="false"/>
            <w:i w:val="false"/>
            <w:color w:val="000000"/>
            <w:sz w:val="22"/>
          </w:rPr>
          <w:t>511.22(2)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tractor-semitrailer-semitrailer converted to a full trailer by use of a dolly equipped with a fifth wheel that is considered a part of the trailer for all purposes, and not a separate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tractor-semitrailer-full 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truck tractor-semitrailer-semitrailer combination, where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combination of vehicles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combination of vehicles, excluding the length of the truck tractor, does not exceed 81½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length of either semitrailer or full trailer does not exceed 45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weight of the second semitrailer or full trailer does not exceed the weight of the first semitrailer by more than 3,000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gross weight of the combination of vehicles does not exceed 80,000 pounds and the combination of vehicles does not exceed the gross axle weight limits of Iowa Code section </w:t>
      </w:r>
      <w:hyperlink r:id="rId7">
        <w:r>
          <w:rPr>
            <w:rStyle w:val="Hyperlink"/>
            <w:rFonts w:ascii="Times New Roman" w:hAnsi="Times New Roman"/>
            <w:b w:val="false"/>
            <w:i w:val="false"/>
            <w:color w:val="000000"/>
            <w:sz w:val="22"/>
          </w:rPr>
          <w:t>321.463(2)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load on each semitrailer or full trailer in the combination is an indivisible load. For the purpose of issuing permits for height or width under Iowa Code chapter </w:t>
      </w:r>
      <w:hyperlink r:id="rId8">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the combination of vehicles will be considered an indivisible load so long as the load on each semitrailer or full trailer in the combination remains an indivisible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the frame extension is not included when determining the overall length of the first semitrailer in a truck tractor-semitrailer-semitrailer combination in which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“full trailer” means the same as defined in 49 CFR Section 390.5, effective October 1, 2025.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321.457(2)</w:t>
        </w:r>
      </w:hyperlink>
      <w:r>
        <w:rPr>
          <w:rFonts w:ascii="Times New Roman" w:hAnsi="Times New Roman"/>
          <w:b w:val="false"/>
          <w:i/>
          <w:color w:val="000000"/>
          <w:sz w:val="22"/>
        </w:rPr>
        <w:t>“n.”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511.22.pdf" Type="http://schemas.openxmlformats.org/officeDocument/2006/relationships/hyperlink" Id="rId4"/>
    <Relationship TargetMode="External" Target="https://www.legis.iowa.gov/docs/iac/rule/761.511.22.pdf" Type="http://schemas.openxmlformats.org/officeDocument/2006/relationships/hyperlink" Id="rId5"/>
    <Relationship TargetMode="External" Target="https://www.legis.iowa.gov/docs/iac/rule/761.511.22.pdf" Type="http://schemas.openxmlformats.org/officeDocument/2006/relationships/hyperlink" Id="rId6"/>
    <Relationship TargetMode="External" Target="https://www.legis.iowa.gov/docs/ico/chapter/321.463.pdf" Type="http://schemas.openxmlformats.org/officeDocument/2006/relationships/hyperlink" Id="rId7"/>
    <Relationship TargetMode="External" Target="https://www.legis.iowa.gov/docs/ico/chapter/321E.pdf" Type="http://schemas.openxmlformats.org/officeDocument/2006/relationships/hyperlink" Id="rId8"/>
    <Relationship TargetMode="External" Target="https://www.legis.iowa.gov/docs/ico/chapter/321.45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