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761—511.10</w:t>
      </w:r>
      <w:r>
        <w:rPr>
          <w:rFonts w:ascii="Times New Roman" w:hAnsi="Times New Roman"/>
          <w:b/>
          <w:i w:val="false"/>
          <w:color w:val="000000"/>
          <w:sz w:val="22"/>
        </w:rPr>
        <w:t xml:space="preserve">(312,321,321E) </w:t>
      </w:r>
      <w:r>
        <w:rPr>
          <w:rFonts w:ascii="Times New Roman" w:hAnsi="Times New Roman"/>
          <w:b/>
          <w:i w:val="false"/>
          <w:color w:val="000000"/>
          <w:sz w:val="22"/>
        </w:rPr>
        <w:t xml:space="preserve">Annual all-systems overweight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 xml:space="preserve">Annual all-systems overweight permits are issued by the department for indivisible vehicles or indivisible or divisible loads for travel on the primary road system and specified city streets and county roads when the weight of the vehicle or load exceeds statutory limits but the dimensions are within statutory limits. Routing is subject to embargoed bridges and roads, including highways restricted by a local authority pursuant to Iowa Code section </w:t>
      </w:r>
      <w:hyperlink r:id="rId4">
        <w:r>
          <w:rPr>
            <w:rStyle w:val="Hyperlink"/>
            <w:rFonts w:ascii="Times New Roman" w:hAnsi="Times New Roman"/>
            <w:b w:val="false"/>
            <w:i w:val="false"/>
            <w:color w:val="000000"/>
            <w:sz w:val="22"/>
          </w:rPr>
          <w:t>321.473</w:t>
        </w:r>
      </w:hyperlink>
      <w:r>
        <w:rPr>
          <w:rFonts w:ascii="Times New Roman" w:hAnsi="Times New Roman"/>
          <w:b w:val="false"/>
          <w:i w:val="false"/>
          <w:color w:val="000000"/>
          <w:sz w:val="22"/>
        </w:rPr>
        <w:t xml:space="preserve">, and posted speed limits. The department will provide a map of the authorized city streets and county roads. Permit holders shall review route, detour and road embargo information online at </w:t>
      </w:r>
      <w:hyperlink r:id="rId5">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check the county 511 map available online at </w:t>
      </w:r>
      <w:hyperlink r:id="rId6">
        <w:r>
          <w:rPr>
            <w:rStyle w:val="Hyperlink"/>
            <w:rFonts w:ascii="Times New Roman" w:hAnsi="Times New Roman"/>
            <w:b w:val="false"/>
            <w:i w:val="false"/>
            <w:color w:val="000000"/>
            <w:sz w:val="22"/>
            <w:u w:val="single"/>
          </w:rPr>
          <w:t>www.iceasb.org/roads</w:t>
        </w:r>
      </w:hyperlink>
      <w:r>
        <w:rPr>
          <w:rFonts w:ascii="Times New Roman" w:hAnsi="Times New Roman"/>
          <w:b w:val="false"/>
          <w:i w:val="false"/>
          <w:color w:val="000000"/>
          <w:sz w:val="22"/>
        </w:rPr>
        <w:t>, and consult with local officials when traveling on county roads or city streets for bridge embargo, vertical clearance, detour, and road construction information. These permits are issued for vehicles with divisible or indivisible loads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Statutory: 75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7">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and city and county jurisdictions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monthly credit. </w:t>
      </w:r>
      <w:r>
        <w:rPr>
          <w:rFonts w:ascii="Times New Roman" w:hAnsi="Times New Roman"/>
          <w:b w:val="false"/>
          <w:i w:val="false"/>
          <w:color w:val="000000"/>
          <w:sz w:val="22"/>
        </w:rPr>
        <w:t xml:space="preserve">In accordance with Iowa Code section </w:t>
      </w:r>
      <w:hyperlink r:id="rId8">
        <w:r>
          <w:rPr>
            <w:rStyle w:val="Hyperlink"/>
            <w:rFonts w:ascii="Times New Roman" w:hAnsi="Times New Roman"/>
            <w:b w:val="false"/>
            <w:i w:val="false"/>
            <w:color w:val="000000"/>
            <w:sz w:val="22"/>
          </w:rPr>
          <w:t>312.2(18)</w:t>
        </w:r>
      </w:hyperlink>
      <w:r>
        <w:rPr>
          <w:rFonts w:ascii="Times New Roman" w:hAnsi="Times New Roman"/>
          <w:b w:val="false"/>
          <w:i w:val="false"/>
          <w:color w:val="000000"/>
          <w:sz w:val="22"/>
        </w:rPr>
        <w:t>, the department will divide the monthly credit among the counties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511.10(3)</w:t>
      </w:r>
      <w:r>
        <w:rPr>
          <w:rFonts w:ascii="Times New Roman" w:hAnsi="Times New Roman"/>
          <w:b w:val="false"/>
          <w:i w:val="false"/>
          <w:color w:val="000000"/>
          <w:sz w:val="22"/>
        </w:rPr>
        <w:t> </w:t>
      </w:r>
      <w:r>
        <w:rPr>
          <w:rFonts w:ascii="Times New Roman" w:hAnsi="Times New Roman"/>
          <w:b w:val="false"/>
          <w:i/>
          <w:color w:val="000000"/>
          <w:sz w:val="22"/>
        </w:rPr>
        <w:t xml:space="preserve">Route exemption justification determinations, submittals, reviews and appeals. </w:t>
      </w:r>
      <w:r>
        <w:rPr>
          <w:rFonts w:ascii="Times New Roman" w:hAnsi="Times New Roman"/>
          <w:b w:val="false"/>
          <w:i w:val="false"/>
          <w:color w:val="000000"/>
          <w:sz w:val="22"/>
        </w:rPr>
        <w:t>If a local authority determines that a road segment needs to be designated as not valid for a permit issued under this rule, a written exemption justification must be provided to the department explaining the local authority’s determination. The department will accept the submittal of exemption justifications in the form and manner prescribed by the department, including via communications between electronic systems. Criteria for exemption justifications and processes for disputes and appeals regarding the department’s approval of submitted exemption justifications are determined by the department after consultation with county and city officials through their representative organizations. Additional guidance is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paved farm-to-market (FM) routes, designated truck routes, non-paved FM routes and non-FM routes, the exemption justification submittal, review and appeal process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local authority will provide the justification and any necessary explanation for exempting the road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either approve or deny the local authority’s exemption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denies the exemption request, the local authority may appeal the department’s decision. If the local authority appeals the department’s decision or requests further consideration, the department will gather additional information, if possible, and may consult with additional stakeholders, including but not limited to the representative organizations for county and city officials, before making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Exemption approvals are reviewed periodically at a frequency determined by the department. The local authority is to submit exemption justification renewals and updates in the form and manner described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511.10(4)</w:t>
      </w:r>
      <w:r>
        <w:rPr>
          <w:rFonts w:ascii="Times New Roman" w:hAnsi="Times New Roman"/>
          <w:b w:val="false"/>
          <w:i w:val="false"/>
          <w:color w:val="000000"/>
          <w:sz w:val="22"/>
        </w:rPr>
        <w:t> </w:t>
      </w:r>
      <w:r>
        <w:rPr>
          <w:rFonts w:ascii="Times New Roman" w:hAnsi="Times New Roman"/>
          <w:b w:val="false"/>
          <w:i/>
          <w:color w:val="000000"/>
          <w:sz w:val="22"/>
        </w:rPr>
        <w:t xml:space="preserve">Alternate route requests. </w:t>
      </w:r>
      <w:r>
        <w:rPr>
          <w:rFonts w:ascii="Times New Roman" w:hAnsi="Times New Roman"/>
          <w:b w:val="false"/>
          <w:i w:val="false"/>
          <w:color w:val="000000"/>
          <w:sz w:val="22"/>
        </w:rPr>
        <w:t>When a permit holder is unable to reach a loading or unloading destination because all routes leading to said destination have been designated as not valid, the permit holder may request establishment of an alternate route to provide access to the loading or unloading destination via the permit. The department, after consultation with county and city officials through their representative organizations, establishes a procedure for alternate route requests. The alternate route procedure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contact the local authority to request an alternate route. Contact information for each local public agency is obtained by clicking on the desired route in the all-systems overweight permit map found on the department’s website for motor carriers.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upon further evaluation, the local authority chooses to designate the requested route as valid, the local authority must contact the department to remove the non-valid designation. The local authority will notify the permit holder of the removal of the non-valid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local authority establishes an alternate route, the local authority must provide written notice to the permit holder of the approved alternate route and the dates for which the route is valid. The written notice is given in the form and manner prescribed by the department or in an alternate form and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local authority does not respond to the request to establish an alternate route after five business days, or if the local authority does not make the existing route valid, provide an acceptable alternate route, or resolve the situation within seven business days, the permit holder may contact the department to request the department establish an alternate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establishing the alternate route, the department will consult with the local authority, if responsive, and may consult with stakeholders, including but not limited to the permit holder, and county and city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the department has established an alternate route, the department will provide written notice to the permit holder and the local authority of the established alternate route and the dates for which the alternate route is valid.</w:t>
      </w:r>
    </w:p>
    <w:p>
      <w:pPr>
        <w:spacing w:before="0" w:after="0"/>
        <w:ind w:left="120"/>
        <w:jc w:val="both"/>
      </w:pPr>
      <w:r>
        <w:rPr>
          <w:rFonts w:ascii="Times New Roman" w:hAnsi="Times New Roman"/>
          <w:b w:val="false"/>
          <w:i w:val="false"/>
          <w:color w:val="000000"/>
          <w:sz w:val="22"/>
        </w:rPr>
        <w:t>Additional guidance is published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473.pdf" Type="http://schemas.openxmlformats.org/officeDocument/2006/relationships/hyperlink" Id="rId4"/>
    <Relationship TargetMode="External" Target="http://www.511ia.org" Type="http://schemas.openxmlformats.org/officeDocument/2006/relationships/hyperlink" Id="rId5"/>
    <Relationship TargetMode="External" Target="http://www.iceasb.org/roads" Type="http://schemas.openxmlformats.org/officeDocument/2006/relationships/hyperlink" Id="rId6"/>
    <Relationship TargetMode="External" Target="https://www.legis.iowa.gov/docs/iac/rule/761.511.17.pdf" Type="http://schemas.openxmlformats.org/officeDocument/2006/relationships/hyperlink" Id="rId7"/>
    <Relationship TargetMode="External" Target="https://www.legis.iowa.gov/docs/ico/chapter/312.2.pdf" Type="http://schemas.openxmlformats.org/officeDocument/2006/relationships/hyperlink" Id="rId8"/>
    <Relationship TargetMode="External" Target="https://www.legis.iowa.gov/docs/ico/chapter/312.2.pdf" Type="http://schemas.openxmlformats.org/officeDocument/2006/relationships/hyperlink" Id="rId9"/>
    <Relationship TargetMode="External" Target="https://www.legis.iowa.gov/docs/ico/chapter/321.454.pdf" Type="http://schemas.openxmlformats.org/officeDocument/2006/relationships/hyperlink" Id="rId10"/>
    <Relationship TargetMode="External" Target="https://www.legis.iowa.gov/docs/ico/chapter/321.456.pdf" Type="http://schemas.openxmlformats.org/officeDocument/2006/relationships/hyperlink" Id="rId11"/>
    <Relationship TargetMode="External" Target="https://www.legis.iowa.gov/docs/ico/chapter/321.457.pdf" Type="http://schemas.openxmlformats.org/officeDocument/2006/relationships/hyperlink" Id="rId12"/>
    <Relationship TargetMode="External" Target="https://www.legis.iowa.gov/docs/ico/chapter/321.463.pdf" Type="http://schemas.openxmlformats.org/officeDocument/2006/relationships/hyperlink" Id="rId13"/>
    <Relationship TargetMode="External" Target="https://www.legis.iowa.gov/docs/ico/chapter/321E.2.pdf" Type="http://schemas.openxmlformats.org/officeDocument/2006/relationships/hyperlink" Id="rId14"/>
    <Relationship TargetMode="External" Target="https://www.legis.iowa.gov/docs/ico/chapter/321E.3.pdf" Type="http://schemas.openxmlformats.org/officeDocument/2006/relationships/hyperlink" Id="rId15"/>
    <Relationship TargetMode="External" Target="https://www.legis.iowa.gov/docs/ico/chapter/321E.8.pdf" Type="http://schemas.openxmlformats.org/officeDocument/2006/relationships/hyperlink" Id="rId16"/>
    <Relationship TargetMode="External" Target="https://www.legis.iowa.gov/docs/ico/chapter/321E.10.pdf" Type="http://schemas.openxmlformats.org/officeDocument/2006/relationships/hyperlink" Id="rId17"/>
    <Relationship TargetMode="External" Target="https://www.legis.iowa.gov/docs/ico/chapter/321E.1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