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761—2506.4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Submission of request for informal settlement or hearing.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 who is aggrieved by an action of the department and who is entitled to a contested case hearing may: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Unless prohibited by statute, request an informal settlement.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Initiate a contested case by submitting a request for a contested case hearing.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Use both procedures.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request for an informal settlement or a contested case hearing shall be submitted in writing to the director of the bureau or division of the department that administers the matter at issue.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request shall include complete names, mailing addresses to be used for communications with the department, and telephone numbers for all persons involved and any attorneys representing them.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2506.4(4)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statute or rule may provide for submission of requests within a specified time period. A request shall be considered timely submitted if it is postmarked or delivered to the appropriate bureau or division of the department within the time period specified. Timely submission of a request shall be jurisdictional.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2506.4(5)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informal settlement may be handled by telephone.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2506.4(6)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an informal settlement cannot be reached within a reasonable period of time, the department will notify the person in writing that there has been a failure to reach an informal settlement, that the department’s action or decision is sustained, and that the person may request a contested case hearing.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2506.4(7)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may initiate a contested case proceeding. Prior to initiating the contested case proceeding, the department, unless disallowed by statute, may attempt to settle the matter informally.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0338D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