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761—2506.22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2506.22(1)</w:t>
      </w:r>
      <w:r>
        <w:rPr>
          <w:rFonts w:ascii="Times New Roman" w:hAnsi="Times New Roman"/>
          <w:b w:val="false"/>
          <w:i w:val="false"/>
          <w:color w:val="000000"/>
          <w:sz w:val="22"/>
        </w:rPr>
        <w:t> </w:t>
      </w:r>
      <w:r>
        <w:rPr>
          <w:rFonts w:ascii="Times New Roman" w:hAnsi="Times New Roman"/>
          <w:b w:val="false"/>
          <w:i w:val="false"/>
          <w:color w:val="000000"/>
          <w:sz w:val="22"/>
        </w:rPr>
        <w:t>A party may move for default against another party that has requested the contested case proceeding and that has failed to appear after proper service is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2506.22(2)</w:t>
      </w:r>
      <w:r>
        <w:rPr>
          <w:rFonts w:ascii="Times New Roman" w:hAnsi="Times New Roman"/>
          <w:b w:val="false"/>
          <w:i w:val="false"/>
          <w:color w:val="000000"/>
          <w:sz w:val="22"/>
        </w:rPr>
        <w:t> </w:t>
      </w:r>
      <w:r>
        <w:rPr>
          <w:rFonts w:ascii="Times New Roman" w:hAnsi="Times New Roman"/>
          <w:b w:val="false"/>
          <w:i w:val="false"/>
          <w:color w:val="000000"/>
          <w:sz w:val="22"/>
        </w:rPr>
        <w:t>Notwithstanding any rule to the contrary, no default may be entered against the department for failure to appear; rather, the presiding officer may either continue the matter or proceed with the hearing and render a decision in the absence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2506.22(3)</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has failed to appear or participate in a contested case proceeding becomes final agency action unless, within 20 days after the date of the decision, either a motion to vacate is filed and served on the presiding officer and the other parties or an appeal of a decision on the merits is timely submitted in accordance with rule </w:t>
      </w:r>
      <w:hyperlink r:id="rId4">
        <w:r>
          <w:rPr>
            <w:rStyle w:val="Hyperlink"/>
            <w:rFonts w:ascii="Times New Roman" w:hAnsi="Times New Roman"/>
            <w:b w:val="false"/>
            <w:i w:val="false"/>
            <w:color w:val="000000"/>
            <w:sz w:val="22"/>
          </w:rPr>
          <w:t>761—2506.27</w:t>
        </w:r>
      </w:hyperlink>
      <w:r>
        <w:rPr>
          <w:rFonts w:ascii="Times New Roman" w:hAnsi="Times New Roman"/>
          <w:b w:val="false"/>
          <w:i w:val="false"/>
          <w:color w:val="000000"/>
          <w:sz w:val="22"/>
        </w:rPr>
        <w:t>(17A). A motion to vacate is to state all facts relied upon by the moving party that establish that good cause existed for that party’s failure to appear or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2506.22(5)</w:t>
      </w:r>
      <w:r>
        <w:rPr>
          <w:rFonts w:ascii="Times New Roman" w:hAnsi="Times New Roman"/>
          <w:b w:val="false"/>
          <w:i w:val="false"/>
          <w:color w:val="000000"/>
          <w:sz w:val="22"/>
        </w:rPr>
        <w:t> </w:t>
      </w:r>
      <w:r>
        <w:rPr>
          <w:rFonts w:ascii="Times New Roman" w:hAnsi="Times New Roman"/>
          <w:b w:val="false"/>
          <w:i w:val="false"/>
          <w:color w:val="000000"/>
          <w:sz w:val="22"/>
        </w:rPr>
        <w:t>Timely filed motions to vacate are to be granted only for good cause shown. The burden of proof is on the moving party. Adverse parties have ten days to respond to a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2506.22(6)</w:t>
      </w:r>
      <w:r>
        <w:rPr>
          <w:rFonts w:ascii="Times New Roman" w:hAnsi="Times New Roman"/>
          <w:b w:val="false"/>
          <w:i w:val="false"/>
          <w:color w:val="000000"/>
          <w:sz w:val="22"/>
        </w:rPr>
        <w:t> </w:t>
      </w:r>
      <w:r>
        <w:rPr>
          <w:rFonts w:ascii="Times New Roman" w:hAnsi="Times New Roman"/>
          <w:b w:val="false"/>
          <w:i w:val="false"/>
          <w:color w:val="000000"/>
          <w:sz w:val="22"/>
        </w:rPr>
        <w:t>“Good cause,” for the purpose of this rule, means surprise, excusable neglect or unavoidable casualty.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in accordance with rule </w:t>
      </w:r>
      <w:hyperlink r:id="rId5">
        <w:r>
          <w:rPr>
            <w:rStyle w:val="Hyperlink"/>
            <w:rFonts w:ascii="Times New Roman" w:hAnsi="Times New Roman"/>
            <w:b w:val="false"/>
            <w:i w:val="false"/>
            <w:color w:val="000000"/>
            <w:sz w:val="22"/>
          </w:rPr>
          <w:t>761—2506.27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2506.22(8)</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granting a motion to vacate is subject to interlocutory appeal by the adverse party in accordance with rule </w:t>
      </w:r>
      <w:hyperlink r:id="rId6">
        <w:r>
          <w:rPr>
            <w:rStyle w:val="Hyperlink"/>
            <w:rFonts w:ascii="Times New Roman" w:hAnsi="Times New Roman"/>
            <w:b w:val="false"/>
            <w:i w:val="false"/>
            <w:color w:val="000000"/>
            <w:sz w:val="22"/>
          </w:rPr>
          <w:t>761—2506.27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2506.22(9)</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is to issue another notice of hearing and the contested case will proceed accordingly.</w:t>
      </w:r>
    </w:p>
    <w:p>
      <w:pPr>
        <w:spacing w:before="0" w:after="0"/>
        <w:ind w:left="120"/>
        <w:jc w:val="both"/>
      </w:pPr>
      <w:hyperlink r:id="rId7">
        <w:r>
          <w:rPr>
            <w:rStyle w:val="Hyperlink"/>
            <w:rFonts w:ascii="Times New Roman" w:hAnsi="Times New Roman"/>
            <w:b w:val="false"/>
            <w:i w:val="false"/>
            <w:color w:val="000000"/>
            <w:sz w:val="22"/>
          </w:rPr>
          <w:t>7—subrule 2506.22(10)</w:t>
        </w:r>
      </w:hyperlink>
      <w:r>
        <w:rPr>
          <w:rFonts w:ascii="Times New Roman" w:hAnsi="Times New Roman"/>
          <w:b w:val="false"/>
          <w:i w:val="false"/>
          <w:color w:val="000000"/>
          <w:sz w:val="22"/>
        </w:rPr>
        <w:t xml:space="preserv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2506.27.pdf" Type="http://schemas.openxmlformats.org/officeDocument/2006/relationships/hyperlink" Id="rId4"/>
    <Relationship TargetMode="External" Target="https://www.legis.iowa.gov/docs/iac/rule/761.2506.27.pdf" Type="http://schemas.openxmlformats.org/officeDocument/2006/relationships/hyperlink" Id="rId5"/>
    <Relationship TargetMode="External" Target="https://www.legis.iowa.gov/docs/iac/rule/761.2506.27.pdf" Type="http://schemas.openxmlformats.org/officeDocument/2006/relationships/hyperlink" Id="rId6"/>
    <Relationship TargetMode="External" Target="https://www.legis.iowa.gov/docs/iac/rule/7.2506.2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