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761—2506.12</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2506.12(1)</w:t>
      </w:r>
      <w:r>
        <w:rPr>
          <w:rFonts w:ascii="Times New Roman" w:hAnsi="Times New Roman"/>
          <w:b w:val="false"/>
          <w:i w:val="false"/>
          <w:color w:val="000000"/>
          <w:sz w:val="22"/>
        </w:rPr>
        <w:t> </w:t>
      </w:r>
      <w:r>
        <w:rPr>
          <w:rFonts w:ascii="Times New Roman" w:hAnsi="Times New Roman"/>
          <w:b w:val="false"/>
          <w:i w:val="false"/>
          <w:color w:val="000000"/>
          <w:sz w:val="22"/>
        </w:rPr>
        <w:t>Each party to a contested case is to keep the department informed of the party’s current address and telephone number; the name, address and telephone number of the party’s attorney, if any; and the mailing address to be used for communications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2506.12(2)</w:t>
      </w:r>
      <w:r>
        <w:rPr>
          <w:rFonts w:ascii="Times New Roman" w:hAnsi="Times New Roman"/>
          <w:b w:val="false"/>
          <w:i w:val="false"/>
          <w:color w:val="000000"/>
          <w:sz w:val="22"/>
        </w:rPr>
        <w:t> </w:t>
      </w:r>
      <w:r>
        <w:rPr>
          <w:rFonts w:ascii="Times New Roman" w:hAnsi="Times New Roman"/>
          <w:b w:val="false"/>
          <w:i w:val="false"/>
          <w:color w:val="000000"/>
          <w:sz w:val="22"/>
        </w:rPr>
        <w:t>Mailed notices, communications and decisions regarding the contested case are to be sent by first class or certified mail to the latest address that each party has provided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4">
        <w:r>
          <w:rPr>
            <w:rStyle w:val="Hyperlink"/>
            <w:rFonts w:ascii="Times New Roman" w:hAnsi="Times New Roman"/>
            <w:b w:val="false"/>
            <w:i w:val="false"/>
            <w:color w:val="000000"/>
            <w:sz w:val="22"/>
          </w:rPr>
          <w:t>2506.12(2)</w:t>
        </w:r>
      </w:hyperlink>
      <w:r>
        <w:rPr>
          <w:rFonts w:ascii="Times New Roman" w:hAnsi="Times New Roman"/>
          <w:b w:val="false"/>
          <w:i w:val="false"/>
          <w:color w:val="000000"/>
          <w:sz w:val="22"/>
        </w:rPr>
        <w:t>, the department of inspections, appeals, and licensing may communicate with the party or the party’s attorney by email and may file and serve documents through the division of administrative hearings’ administrative electronic management system.</w:t>
      </w:r>
    </w:p>
    <w:p>
      <w:pPr>
        <w:spacing w:before="0" w:after="0"/>
        <w:ind w:left="120"/>
        <w:jc w:val="both"/>
      </w:pPr>
      <w:hyperlink r:id="rId5">
        <w:r>
          <w:rPr>
            <w:rStyle w:val="Hyperlink"/>
            <w:rFonts w:ascii="Times New Roman" w:hAnsi="Times New Roman"/>
            <w:b w:val="false"/>
            <w:i w:val="false"/>
            <w:color w:val="000000"/>
            <w:sz w:val="22"/>
          </w:rPr>
          <w:t>7—subrules 2506.12(4)</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2506.12(7)</w:t>
        </w:r>
      </w:hyperlink>
      <w:r>
        <w:rPr>
          <w:rFonts w:ascii="Times New Roman" w:hAnsi="Times New Roman"/>
          <w:b w:val="false"/>
          <w:i w:val="false"/>
          <w:color w:val="000000"/>
          <w:sz w:val="22"/>
        </w:rPr>
        <w:t xml:space="preserve"> are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2506.12.pdf" Type="http://schemas.openxmlformats.org/officeDocument/2006/relationships/hyperlink" Id="rId4"/>
    <Relationship TargetMode="External" Target="https://www.legis.iowa.gov/docs/iac/rule/7.2506.12.pdf" Type="http://schemas.openxmlformats.org/officeDocument/2006/relationships/hyperlink" Id="rId5"/>
    <Relationship TargetMode="External" Target="https://www.legis.iowa.gov/docs/iac/rule/7.2506.1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