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721—22.600</w:t>
      </w:r>
      <w:r>
        <w:rPr>
          <w:rFonts w:ascii="Times New Roman" w:hAnsi="Times New Roman"/>
          <w:b/>
          <w:i w:val="false"/>
          <w:color w:val="000000"/>
          <w:sz w:val="22"/>
        </w:rPr>
        <w:t xml:space="preserve">(47) </w:t>
      </w:r>
      <w:r>
        <w:rPr>
          <w:rFonts w:ascii="Times New Roman" w:hAnsi="Times New Roman"/>
          <w:b/>
          <w:i w:val="false"/>
          <w:color w:val="000000"/>
          <w:sz w:val="22"/>
        </w:rPr>
        <w:t xml:space="preserve">Revolving loan fund. </w:t>
      </w:r>
      <w:r>
        <w:rPr>
          <w:rFonts w:ascii="Times New Roman" w:hAnsi="Times New Roman"/>
          <w:b w:val="false"/>
          <w:i w:val="false"/>
          <w:color w:val="000000"/>
          <w:sz w:val="22"/>
        </w:rPr>
        <w:t xml:space="preserve">The purpose of this rule is to establish an e-poll book and polling place modernization panel to review applications submitted to the state commissioner for distribution of moneys from the revolving loan fund created in Iowa Code section </w:t>
      </w:r>
      <w:hyperlink r:id="rId4">
        <w:r>
          <w:rPr>
            <w:rStyle w:val="Hyperlink"/>
            <w:rFonts w:ascii="Times New Roman" w:hAnsi="Times New Roman"/>
            <w:b w:val="false"/>
            <w:i w:val="false"/>
            <w:color w:val="000000"/>
            <w:sz w:val="22"/>
          </w:rPr>
          <w:t>47.11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“E-poll book”</w:t>
      </w:r>
      <w:r>
        <w:rPr>
          <w:rFonts w:ascii="Times New Roman" w:hAnsi="Times New Roman"/>
          <w:b w:val="false"/>
          <w:i w:val="false"/>
          <w:color w:val="000000"/>
          <w:sz w:val="22"/>
        </w:rPr>
        <w:t> </w:t>
      </w:r>
      <w:r>
        <w:rPr>
          <w:rFonts w:ascii="Times New Roman" w:hAnsi="Times New Roman"/>
          <w:b w:val="false"/>
          <w:i w:val="false"/>
          <w:color w:val="000000"/>
          <w:sz w:val="22"/>
        </w:rPr>
        <w:t xml:space="preserve">is as defined in rule </w:t>
      </w:r>
      <w:hyperlink r:id="rId5">
        <w:r>
          <w:rPr>
            <w:rStyle w:val="Hyperlink"/>
            <w:rFonts w:ascii="Times New Roman" w:hAnsi="Times New Roman"/>
            <w:b w:val="false"/>
            <w:i w:val="false"/>
            <w:color w:val="000000"/>
            <w:sz w:val="22"/>
          </w:rPr>
          <w:t>721—22.1</w:t>
        </w:r>
      </w:hyperlink>
      <w:r>
        <w:rPr>
          <w:rFonts w:ascii="Times New Roman" w:hAnsi="Times New Roman"/>
          <w:b w:val="false"/>
          <w:i w:val="false"/>
          <w:color w:val="000000"/>
          <w:sz w:val="22"/>
        </w:rPr>
        <w:t>(52).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“Vendor,”</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means a person or representative of a person developing, offering, or supporting an e-poll book.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22.600(2)</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ensure that the public funds in this rule are used responsibly and efficiently, this rule creates a panel consisting of designees of the state commissioner of elections, the state auditor, and the director of the department of management. Attendance by two of the three members constitutes a quorum. The panel shall conform to the party balance requirements of Iowa Code section </w:t>
      </w:r>
      <w:hyperlink r:id="rId6">
        <w:r>
          <w:rPr>
            <w:rStyle w:val="Hyperlink"/>
            <w:rFonts w:ascii="Times New Roman" w:hAnsi="Times New Roman"/>
            <w:b w:val="false"/>
            <w:i w:val="false"/>
            <w:color w:val="000000"/>
            <w:sz w:val="22"/>
          </w:rPr>
          <w:t>4A.12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22.600(3)</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shall convene the panel whenever necessary to review loan applications received from county commissioners requesting moneys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22.600(4)</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may convene the panel to review proposed expenditures for updating technology standards for elections. If the state commissioner determines that there is an urgent need that an expenditure of moneys from the fund be used to update technology standards, the state commissioner may spend the moneys without convening the panel. In such instance, the state commissioner shall report that expenditure at the next meeting of the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panel shall create guidelines for loaning moneys from the fund to county commissioners for the updating of polling place technology. The guidelines shall be published on the state commissioner’s website. The panel shall not approve funding for the purchase of e-pollbooks that are not certified by the state commissioner pursuant to Iowa Code section </w:t>
      </w:r>
      <w:hyperlink r:id="rId7">
        <w:r>
          <w:rPr>
            <w:rStyle w:val="Hyperlink"/>
            <w:rFonts w:ascii="Times New Roman" w:hAnsi="Times New Roman"/>
            <w:b w:val="false"/>
            <w:i w:val="false"/>
            <w:color w:val="000000"/>
            <w:sz w:val="22"/>
          </w:rPr>
          <w:t>49.29</w:t>
        </w:r>
      </w:hyperlink>
      <w:r>
        <w:rPr>
          <w:rFonts w:ascii="Times New Roman" w:hAnsi="Times New Roman"/>
          <w:b w:val="false"/>
          <w:i w:val="false"/>
          <w:color w:val="000000"/>
          <w:sz w:val="22"/>
        </w:rPr>
        <w:t xml:space="preserve"> unless the e-pollbook’s certification has been waived by the state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22.600(6)</w:t>
      </w:r>
      <w:r>
        <w:rPr>
          <w:rFonts w:ascii="Times New Roman" w:hAnsi="Times New Roman"/>
          <w:b w:val="false"/>
          <w:i w:val="false"/>
          <w:color w:val="000000"/>
          <w:sz w:val="22"/>
        </w:rPr>
        <w:t> </w:t>
      </w:r>
      <w:r>
        <w:rPr>
          <w:rFonts w:ascii="Times New Roman" w:hAnsi="Times New Roman"/>
          <w:b w:val="false"/>
          <w:i w:val="false"/>
          <w:color w:val="000000"/>
          <w:sz w:val="22"/>
        </w:rPr>
        <w:t>Before distributing or loaning funds, the panel shall consider the published guidelines, but may take additional factors into consideration. The panel shall not waive any information technology security standards. A majority vote of the panel members present is sufficient to approve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22.600(7)</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any funds from the revolving loan fund are provided for the acquisition of e-poll books, the e-poll book system shall conform to the security requirements within this chapter.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47.11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3468C</w:t>
      </w:r>
      <w:r>
        <w:rPr>
          <w:rFonts w:ascii="Times New Roman" w:hAnsi="Times New Roman"/>
          <w:b w:val="false"/>
          <w:i w:val="false"/>
          <w:color w:val="000000"/>
          <w:sz w:val="16"/>
        </w:rPr>
        <w:t>, IAB 11/22/17, effective 12/31/17</w:t>
      </w:r>
      <w:r>
        <w:rPr>
          <w:rFonts w:ascii="Times New Roman" w:hAnsi="Times New Roman"/>
          <w:b w:val="false"/>
          <w:i w:val="false"/>
          <w:color w:val="000000"/>
          <w:sz w:val="16"/>
        </w:rPr>
        <w:t xml:space="preserve">; </w:t>
      </w:r>
      <w:r>
        <w:rPr>
          <w:rFonts w:ascii="Times New Roman" w:hAnsi="Times New Roman"/>
          <w:b/>
          <w:i w:val="false"/>
          <w:color w:val="000000"/>
          <w:sz w:val="16"/>
        </w:rPr>
        <w:t>ARC 0335D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11.pdf" Type="http://schemas.openxmlformats.org/officeDocument/2006/relationships/hyperlink" Id="rId4"/>
    <Relationship TargetMode="External" Target="https://www.legis.iowa.gov/docs/iac/rule/721.22.1.pdf" Type="http://schemas.openxmlformats.org/officeDocument/2006/relationships/hyperlink" Id="rId5"/>
    <Relationship TargetMode="External" Target="https://www.legis.iowa.gov/docs/ico/chapter/4A.12.pdf" Type="http://schemas.openxmlformats.org/officeDocument/2006/relationships/hyperlink" Id="rId6"/>
    <Relationship TargetMode="External" Target="https://www.legis.iowa.gov/docs/ico/chapter/49.29.pdf" Type="http://schemas.openxmlformats.org/officeDocument/2006/relationships/hyperlink" Id="rId7"/>
    <Relationship TargetMode="External" Target="https://www.legis.iowa.gov/docs/ico/chapter/47.11.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