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721—22.50</w:t>
      </w:r>
      <w:r>
        <w:rPr>
          <w:rFonts w:ascii="Times New Roman" w:hAnsi="Times New Roman"/>
          <w:b/>
          <w:i w:val="false"/>
          <w:color w:val="000000"/>
          <w:sz w:val="22"/>
        </w:rPr>
        <w:t xml:space="preserve">(52) </w:t>
      </w:r>
      <w:r>
        <w:rPr>
          <w:rFonts w:ascii="Times New Roman" w:hAnsi="Times New Roman"/>
          <w:b/>
          <w:i w:val="false"/>
          <w:color w:val="000000"/>
          <w:sz w:val="22"/>
        </w:rPr>
        <w:t xml:space="preserve">Voting system security. </w:t>
      </w:r>
      <w:r>
        <w:rPr>
          <w:rFonts w:ascii="Times New Roman" w:hAnsi="Times New Roman"/>
          <w:b w:val="false"/>
          <w:i w:val="false"/>
          <w:color w:val="000000"/>
          <w:sz w:val="22"/>
        </w:rPr>
        <w:t>Each county shall have a written security policy. The policy shall include detailed plans to protect the election equipment and data from unauthorized access. The policy shall describe the methods to be used to preserve the integrity of the election and to document the 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22.50(1)</w:t>
      </w:r>
      <w:r>
        <w:rPr>
          <w:rFonts w:ascii="Times New Roman" w:hAnsi="Times New Roman"/>
          <w:b w:val="false"/>
          <w:i w:val="false"/>
          <w:color w:val="000000"/>
          <w:sz w:val="22"/>
        </w:rPr>
        <w:t> </w:t>
      </w:r>
      <w:r>
        <w:rPr>
          <w:rFonts w:ascii="Times New Roman" w:hAnsi="Times New Roman"/>
          <w:b w:val="false"/>
          <w:i/>
          <w:color w:val="000000"/>
          <w:sz w:val="22"/>
        </w:rPr>
        <w:t xml:space="preserve">Staff access. </w:t>
      </w:r>
      <w:r>
        <w:rPr>
          <w:rFonts w:ascii="Times New Roman" w:hAnsi="Times New Roman"/>
          <w:b w:val="false"/>
          <w:i w:val="false"/>
          <w:color w:val="000000"/>
          <w:sz w:val="22"/>
        </w:rPr>
        <w:t>The security policy shall describe who shall have access to the voting equipment, including the computers used in the commissioner’s office to prepare ballots and voting equipment programs or to compile election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22.50(2)</w:t>
      </w:r>
      <w:r>
        <w:rPr>
          <w:rFonts w:ascii="Times New Roman" w:hAnsi="Times New Roman"/>
          <w:b w:val="false"/>
          <w:i w:val="false"/>
          <w:color w:val="000000"/>
          <w:sz w:val="22"/>
        </w:rPr>
        <w:t> </w:t>
      </w:r>
      <w:r>
        <w:rPr>
          <w:rFonts w:ascii="Times New Roman" w:hAnsi="Times New Roman"/>
          <w:b w:val="false"/>
          <w:i/>
          <w:color w:val="000000"/>
          <w:sz w:val="22"/>
        </w:rPr>
        <w:t xml:space="preserve">Computers. </w:t>
      </w:r>
      <w:r>
        <w:rPr>
          <w:rFonts w:ascii="Times New Roman" w:hAnsi="Times New Roman"/>
          <w:b w:val="false"/>
          <w:i w:val="false"/>
          <w:color w:val="000000"/>
          <w:sz w:val="22"/>
        </w:rPr>
        <w:t>For security purposes, computers used in the commissioner’s office to prepare ballots and voting equipment programs or to compile election results shall not be used for any other function and shall not be linked to any computer network or to the internet unless the commissioner has on file in the office of the state commissioner a current Election Computer Risk Acceptance Form indicating acceptance of this security risk. The Election Computer Risk Acceptance Form, once submitted, is current until the end of the next even-numbered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election computers are linked to a network or to the internet, the commissioner shall use a firewall to filter network traffic. Data transmissions over the internet shall be encrypted and password-protected. Information posted to a website shall not be considered transmission of data over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computer(s) used to prepare ballots and voting equipment programs or to compile election results shall be limited to persons specified by the commissioner in the written security policy. The level of access granted to each person identified in the policy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Uniqueness. The usernames and passwords for each user authorized in the security policy shall be unique. The creation of generic or shared usernames is specifically prohibited. Each user shall have exactly one username and password, except where job requirements necessitate the creation of multiple usernames to access different business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Authority. Each user shall be granted only the level of access specifically required by the user’s job. Use of “Administrator,” “Super User,” “Security Administrator,” or “SA” levels of authority shall be severely 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Generic usernames. Staff members with generic usernames are not allowed to sign on to voting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Password standards.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09"/>
        <w:gridCol w:w="4481"/>
      </w:tblGrid>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Account Policy</w:t>
            </w:r>
          </w:p>
        </w:tc>
        <w:tc>
          <w:tcPr>
            <w:tcW w:w="4481" w:type="dxa"/>
            <w:tcBorders>
              <w:bottom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Recommended Setting</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Maximum Password Age</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90 days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Minimum Password Age</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days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Minimum Password Length</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characters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Enforced Password History</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passwords (last 6 cannot be used)</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Account Lockout (number of unsuccessful log-on attempts)</w:t>
            </w:r>
          </w:p>
        </w:tc>
        <w:tc>
          <w:tcPr>
            <w:tcW w:w="4481"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3 bad attempts</w:t>
            </w:r>
          </w:p>
        </w:tc>
      </w:tr>
      <w:tr>
        <w:trPr>
          <w:trHeight w:val="255" w:hRule="atLeast"/>
        </w:trPr>
        <w:tc>
          <w:tcPr>
            <w:tcW w:w="6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Account Lockout Duration</w:t>
            </w:r>
          </w:p>
        </w:tc>
        <w:tc>
          <w:tcPr>
            <w:tcW w:w="448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hours</w:t>
            </w:r>
          </w:p>
        </w:tc>
      </w:tr>
      <w:tr>
        <w:trPr>
          <w:trHeight w:val="255" w:hRule="atLeast"/>
        </w:trPr>
        <w:tc>
          <w:tcPr>
            <w:tcW w:w="67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Reset Account Lockout Counter After</w:t>
            </w:r>
          </w:p>
        </w:tc>
        <w:tc>
          <w:tcPr>
            <w:tcW w:w="448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6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Hardened operating system. For security purposes, users of Election Systems &amp; Software, Unity 3.4.0.1, Election Systems &amp; Software EVS 5.3.0.0, Democracy Suite 4.6 and Democracy Suite 4.14B shall harden the operating system on the computer on which the election management system is housed according to the specifications of the vendor and the recommendations of the county information technology department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22.50(3)</w:t>
      </w:r>
      <w:r>
        <w:rPr>
          <w:rFonts w:ascii="Times New Roman" w:hAnsi="Times New Roman"/>
          <w:b w:val="false"/>
          <w:i w:val="false"/>
          <w:color w:val="000000"/>
          <w:sz w:val="22"/>
        </w:rPr>
        <w:t> </w:t>
      </w:r>
      <w:r>
        <w:rPr>
          <w:rFonts w:ascii="Times New Roman" w:hAnsi="Times New Roman"/>
          <w:b w:val="false"/>
          <w:i/>
          <w:color w:val="000000"/>
          <w:sz w:val="22"/>
        </w:rPr>
        <w:t xml:space="preserve">Evacuation. </w:t>
      </w:r>
      <w:r>
        <w:rPr>
          <w:rFonts w:ascii="Times New Roman" w:hAnsi="Times New Roman"/>
          <w:b w:val="false"/>
          <w:i w:val="false"/>
          <w:color w:val="000000"/>
          <w:sz w:val="22"/>
        </w:rPr>
        <w:t>If it is necessary to evacuate the election office, a satellite absentee voting station or a polling place, the precinct election staff or the election officials shall immediately attempt to notify the commissioner and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Keep people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possible, gather and secure voted ballots, election equipment and critical election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0801C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1746C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2074C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