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641—97.6</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death. </w:t>
      </w:r>
      <w:r>
        <w:rPr>
          <w:rFonts w:ascii="Times New Roman" w:hAnsi="Times New Roman"/>
          <w:b w:val="false"/>
          <w:i w:val="false"/>
          <w:color w:val="000000"/>
          <w:sz w:val="22"/>
        </w:rPr>
        <w:t>The funeral director shall submit the completed fact of death portion of the certificate of death to the physician, physician associate, advanced registered nurse practitioner, or medical examiner for the completion of the medical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val="false"/>
          <w:color w:val="000000"/>
          <w:sz w:val="22"/>
        </w:rPr>
        <w:t>For a natural cause of death, the physician, physician associate or advanced registered nurse practitioner in charge of the patient’s care for the illness or condition that resulted in death shall complete and sign the medical certification within 72 hours after receipt of the death certificate from the funeral director or individual who initially assumed custody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val="false"/>
          <w:color w:val="000000"/>
          <w:sz w:val="22"/>
        </w:rPr>
        <w:t>If there is a non-natural cause of death, the state medical examiner or county medical examiner shall be notified and shall conduct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val="false"/>
          <w:color w:val="000000"/>
          <w:sz w:val="22"/>
        </w:rPr>
        <w:t>If the decedent was an infant or child and the cause of death is not known, a medical examiner shall conduct an investigation and an autopsy shall be performed as necessary to exclude a non-natural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investigation into a death, the state medical examiner or county medical examiner determines that a preexisting natural disease or condition was the likely cause of death and that the death does not affect the public interest as described in Iowa Code section </w:t>
      </w:r>
      <w:hyperlink r:id="rId4">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the state medical examiner or county medical examiner may elect to defer to the physician, physician associate or advanced registered nurse practitioner in charge of the patient’s preexisting condition the certification of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val="false"/>
          <w:color w:val="000000"/>
          <w:sz w:val="22"/>
        </w:rPr>
        <w:t>When an investigation is required by the state medical examiner or county medical examiner, the state medical examiner or county medical examiner shall investigate the cause and manner of death and shall complete and sign the medical certification within 72 hours after determination of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97.6(6)</w:t>
      </w:r>
      <w:r>
        <w:rPr>
          <w:rFonts w:ascii="Times New Roman" w:hAnsi="Times New Roman"/>
          <w:b w:val="false"/>
          <w:i w:val="false"/>
          <w:color w:val="000000"/>
          <w:sz w:val="22"/>
        </w:rPr>
        <w:t> </w:t>
      </w:r>
      <w:r>
        <w:rPr>
          <w:rFonts w:ascii="Times New Roman" w:hAnsi="Times New Roman"/>
          <w:b w:val="false"/>
          <w:i w:val="false"/>
          <w:color w:val="000000"/>
          <w:sz w:val="22"/>
        </w:rPr>
        <w:t>The medical certifier completing the medical certification of cause of death shall attest to the accuracy of the medical certification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31.80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