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641—7.1</w:t>
      </w:r>
      <w:r>
        <w:rPr>
          <w:rFonts w:ascii="Times New Roman" w:hAnsi="Times New Roman"/>
          <w:b/>
          <w:i w:val="false"/>
          <w:color w:val="000000"/>
          <w:sz w:val="22"/>
        </w:rPr>
        <w:t xml:space="preserve">(139A)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“Admitting official”</w:t>
      </w:r>
      <w:r>
        <w:rPr>
          <w:rFonts w:ascii="Times New Roman" w:hAnsi="Times New Roman"/>
          <w:b w:val="false"/>
          <w:i w:val="false"/>
          <w:color w:val="000000"/>
          <w:sz w:val="22"/>
        </w:rPr>
        <w:t> </w:t>
      </w:r>
      <w:r>
        <w:rPr>
          <w:rFonts w:ascii="Times New Roman" w:hAnsi="Times New Roman"/>
          <w:b w:val="false"/>
          <w:i w:val="false"/>
          <w:color w:val="000000"/>
          <w:sz w:val="22"/>
        </w:rPr>
        <w:t>means the superintendent of schools or the superintendent’s designated representative if a public school; if a nonpublic school or licensed child care center, the governing official of the school or child care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“ARNP”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advanced registered nurse practitioner as defined in </w:t>
      </w:r>
      <w:hyperlink r:id="rId4">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any person seeking enrollment in a licensed child care center or elementary or 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medical assistant”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certified to practice as a certified medical assistant following completion of a postsecondary medical assistant program accredited by the Commission on Accreditation of Allied Health Education Programs or the Accrediting Bureau of Health Education Schools and successful completion of the certification examination and who is directed by a supervising physician, physician associate, or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“Competent private instruction”</w:t>
      </w:r>
      <w:r>
        <w:rPr>
          <w:rFonts w:ascii="Times New Roman" w:hAnsi="Times New Roman"/>
          <w:b w:val="false"/>
          <w:i w:val="false"/>
          <w:color w:val="000000"/>
          <w:sz w:val="22"/>
        </w:rPr>
        <w:t> </w:t>
      </w:r>
      <w:r>
        <w:rPr>
          <w:rFonts w:ascii="Times New Roman" w:hAnsi="Times New Roman"/>
          <w:b w:val="false"/>
          <w:i w:val="false"/>
          <w:color w:val="000000"/>
          <w:sz w:val="22"/>
        </w:rPr>
        <w:t xml:space="preserve">is as defined in Iowa Code section </w:t>
      </w:r>
      <w:hyperlink r:id="rId5">
        <w:r>
          <w:rPr>
            <w:rStyle w:val="Hyperlink"/>
            <w:rFonts w:ascii="Times New Roman" w:hAnsi="Times New Roman"/>
            <w:b w:val="false"/>
            <w:i w:val="false"/>
            <w:color w:val="000000"/>
            <w:sz w:val="22"/>
          </w:rPr>
          <w:t>299A.1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“Elementary school”</w:t>
      </w:r>
      <w:r>
        <w:rPr>
          <w:rFonts w:ascii="Times New Roman" w:hAnsi="Times New Roman"/>
          <w:b w:val="false"/>
          <w:i w:val="false"/>
          <w:color w:val="000000"/>
          <w:sz w:val="22"/>
        </w:rPr>
        <w:t> </w:t>
      </w:r>
      <w:r>
        <w:rPr>
          <w:rFonts w:ascii="Times New Roman" w:hAnsi="Times New Roman"/>
          <w:b w:val="false"/>
          <w:i w:val="false"/>
          <w:color w:val="000000"/>
          <w:sz w:val="22"/>
        </w:rPr>
        <w:t>means kindergarten if provided, and grades one through eight or grades one through six when grades seven and eight are included in a 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postsecondary 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institution of higher learning under the control of the state board of regents, a community college established under Iowa Code chapter </w:t>
      </w:r>
      <w:hyperlink r:id="rId6">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or an accredited private institution as defined in Iowa Code section </w:t>
      </w:r>
      <w:hyperlink r:id="rId7">
        <w:r>
          <w:rPr>
            <w:rStyle w:val="Hyperlink"/>
            <w:rFonts w:ascii="Times New Roman" w:hAnsi="Times New Roman"/>
            <w:b w:val="false"/>
            <w:i w:val="false"/>
            <w:color w:val="000000"/>
            <w:sz w:val="22"/>
          </w:rPr>
          <w:t>256.183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“Enrolled user”</w:t>
      </w:r>
      <w:r>
        <w:rPr>
          <w:rFonts w:ascii="Times New Roman" w:hAnsi="Times New Roman"/>
          <w:b w:val="false"/>
          <w:i w:val="false"/>
          <w:color w:val="000000"/>
          <w:sz w:val="22"/>
        </w:rPr>
        <w:t> </w:t>
      </w:r>
      <w:r>
        <w:rPr>
          <w:rFonts w:ascii="Times New Roman" w:hAnsi="Times New Roman"/>
          <w:b w:val="false"/>
          <w:i w:val="false"/>
          <w:color w:val="000000"/>
          <w:sz w:val="22"/>
        </w:rPr>
        <w:t>means a user of the registry who has completed an enrollment form that specifies the conditions under which the registry can be accessed and who has been issued an identification code and password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screening”</w:t>
      </w:r>
      <w:r>
        <w:rPr>
          <w:rFonts w:ascii="Times New Roman" w:hAnsi="Times New Roman"/>
          <w:b w:val="false"/>
          <w:i w:val="false"/>
          <w:color w:val="000000"/>
          <w:sz w:val="22"/>
        </w:rPr>
        <w:t> </w:t>
      </w:r>
      <w:r>
        <w:rPr>
          <w:rFonts w:ascii="Times New Roman" w:hAnsi="Times New Roman"/>
          <w:b w:val="false"/>
          <w:i w:val="false"/>
          <w:color w:val="000000"/>
          <w:sz w:val="22"/>
        </w:rPr>
        <w:t>means a vision screen, dental screen, or refugee health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“Immunization 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“registry”</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health and human services’ database of confidential, population-based, immunization and health screening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 of higher education”</w:t>
      </w:r>
      <w:r>
        <w:rPr>
          <w:rFonts w:ascii="Times New Roman" w:hAnsi="Times New Roman"/>
          <w:b w:val="false"/>
          <w:i w:val="false"/>
          <w:color w:val="000000"/>
          <w:sz w:val="22"/>
        </w:rPr>
        <w:t> </w:t>
      </w:r>
      <w:r>
        <w:rPr>
          <w:rFonts w:ascii="Times New Roman" w:hAnsi="Times New Roman"/>
          <w:b w:val="false"/>
          <w:i w:val="false"/>
          <w:color w:val="000000"/>
          <w:sz w:val="22"/>
        </w:rPr>
        <w:t>means a postsecondary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as a nurse pursuant to Iowa Code chapter </w:t>
      </w:r>
      <w:hyperlink r:id="rId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“On-campus residence hall or dormitory”</w:t>
      </w:r>
      <w:r>
        <w:rPr>
          <w:rFonts w:ascii="Times New Roman" w:hAnsi="Times New Roman"/>
          <w:b w:val="false"/>
          <w:i w:val="false"/>
          <w:color w:val="000000"/>
          <w:sz w:val="22"/>
        </w:rPr>
        <w:t> </w:t>
      </w:r>
      <w:r>
        <w:rPr>
          <w:rFonts w:ascii="Times New Roman" w:hAnsi="Times New Roman"/>
          <w:b w:val="false"/>
          <w:i w:val="false"/>
          <w:color w:val="000000"/>
          <w:sz w:val="22"/>
        </w:rPr>
        <w:t>means campus housing for students that is owned or leased by the institution of higher education and located on a recognized campus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“Pharmacist”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pharmacy pursuant to Iowa Code chapter </w:t>
      </w:r>
      <w:hyperlink r:id="rId9">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medicine and surgery or osteopathic medicine and surgery pursuant to Iowa Code chapter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as a physician associate pursuant to Iowa Code chapter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“Postsecondary student”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officially registered with a postsecondary school, as determined by the school, and who physically attends class on the school’s campus. For purposes of these rules, “postsecondary student” does not include a person who is exclusively registered in a correspondence course or continuing education class or who attends class exclusively by means of distance learning or through other means that do not require the person’s physical presence on the school’s campus.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“Screening provider”</w:t>
      </w:r>
      <w:r>
        <w:rPr>
          <w:rFonts w:ascii="Times New Roman" w:hAnsi="Times New Roman"/>
          <w:b w:val="false"/>
          <w:i w:val="false"/>
          <w:color w:val="000000"/>
          <w:sz w:val="22"/>
        </w:rPr>
        <w:t> </w:t>
      </w:r>
      <w:r>
        <w:rPr>
          <w:rFonts w:ascii="Times New Roman" w:hAnsi="Times New Roman"/>
          <w:b w:val="false"/>
          <w:i w:val="false"/>
          <w:color w:val="000000"/>
          <w:sz w:val="22"/>
        </w:rPr>
        <w:t>means an ophthalmologist, optometrist, physician, free clinic, child care center, local public health department, public or accredited nonpublic school, community-based organization, advanced registered nurse practitioner (ARNP), physician associate, dentist or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“Secondary school”</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junior high school comprising grades 7, 8 and 9, and a senior high school;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combined junior-senior high school comprising grades 7 through 12;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junior high school comprising grades 7 and 8 and a high school comprising grades 9 through 12;</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high school comprising grades 9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“Signature”</w:t>
      </w:r>
      <w:r>
        <w:rPr>
          <w:rFonts w:ascii="Times New Roman" w:hAnsi="Times New Roman"/>
          <w:b w:val="false"/>
          <w:i w:val="false"/>
          <w:color w:val="000000"/>
          <w:sz w:val="22"/>
        </w:rPr>
        <w:t> </w:t>
      </w:r>
      <w:r>
        <w:rPr>
          <w:rFonts w:ascii="Times New Roman" w:hAnsi="Times New Roman"/>
          <w:b w:val="false"/>
          <w:i w:val="false"/>
          <w:color w:val="000000"/>
          <w:sz w:val="22"/>
        </w:rPr>
        <w:t>means an original signature or the authorized use of a stamped signature or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enrolled in a licensed child care center, elementary school or secondary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5.7.pdf" Type="http://schemas.openxmlformats.org/officeDocument/2006/relationships/hyperlink" Id="rId4"/>
    <Relationship TargetMode="External" Target="https://www.legis.iowa.gov/docs/ico/chapter/299A.1.pdf" Type="http://schemas.openxmlformats.org/officeDocument/2006/relationships/hyperlink" Id="rId5"/>
    <Relationship TargetMode="External" Target="https://www.legis.iowa.gov/docs/ico/chapter/260C.pdf" Type="http://schemas.openxmlformats.org/officeDocument/2006/relationships/hyperlink" Id="rId6"/>
    <Relationship TargetMode="External" Target="https://www.legis.iowa.gov/docs/ico/chapter/256.183.pdf" Type="http://schemas.openxmlformats.org/officeDocument/2006/relationships/hyperlink" Id="rId7"/>
    <Relationship TargetMode="External" Target="https://www.legis.iowa.gov/docs/ico/chapter/152.pdf" Type="http://schemas.openxmlformats.org/officeDocument/2006/relationships/hyperlink" Id="rId8"/>
    <Relationship TargetMode="External" Target="https://www.legis.iowa.gov/docs/ico/chapter/155A.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148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