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641—52.1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registered nurse practitioner”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“ARNP”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rule </w:t>
      </w:r>
      <w:hyperlink r:id="rId4">
        <w:r>
          <w:rPr>
            <w:rStyle w:val="Hyperlink"/>
            <w:rFonts w:ascii="Times New Roman" w:hAnsi="Times New Roman"/>
            <w:b w:val="false"/>
            <w:i w:val="false"/>
            <w:color w:val="000000"/>
            <w:sz w:val="22"/>
          </w:rPr>
          <w:t>655—7.1</w:t>
        </w:r>
      </w:hyperlink>
      <w:r>
        <w:rPr>
          <w:rFonts w:ascii="Times New Roman" w:hAnsi="Times New Roman"/>
          <w:b w:val="false"/>
          <w:i w:val="false"/>
          <w:color w:val="000000"/>
          <w:sz w:val="22"/>
        </w:rPr>
        <w:t>(17A,124,147,152).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“Autorefractor”</w:t>
      </w:r>
      <w:r>
        <w:rPr>
          <w:rFonts w:ascii="Times New Roman" w:hAnsi="Times New Roman"/>
          <w:b w:val="false"/>
          <w:i w:val="false"/>
          <w:color w:val="000000"/>
          <w:sz w:val="22"/>
        </w:rPr>
        <w:t> </w:t>
      </w:r>
      <w:r>
        <w:rPr>
          <w:rFonts w:ascii="Times New Roman" w:hAnsi="Times New Roman"/>
          <w:b w:val="false"/>
          <w:i w:val="false"/>
          <w:color w:val="000000"/>
          <w:sz w:val="22"/>
        </w:rPr>
        <w:t>means a method of vision screening involving skiascopy methods or wave-front technology to evaluate the refractive error of each eye. Depending on the autorefractor being used, this method allows for immediate results interpreted by the operator or the instrument as a pass or fail.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“Community-based organization”</w:t>
      </w:r>
      <w:r>
        <w:rPr>
          <w:rFonts w:ascii="Times New Roman" w:hAnsi="Times New Roman"/>
          <w:b w:val="false"/>
          <w:i w:val="false"/>
          <w:color w:val="000000"/>
          <w:sz w:val="22"/>
        </w:rPr>
        <w:t> </w:t>
      </w:r>
      <w:r>
        <w:rPr>
          <w:rFonts w:ascii="Times New Roman" w:hAnsi="Times New Roman"/>
          <w:b w:val="false"/>
          <w:i w:val="false"/>
          <w:color w:val="000000"/>
          <w:sz w:val="22"/>
        </w:rPr>
        <w:t>means a public or private nonprofit organization of demonstrated effectiveness that is representative of a community or significant segments of a community and that provides educational or related services to individuals in the community that include utilizing approved age-appropriate, acceptable child vision screening tests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“Comprehensive eye examination”</w:t>
      </w:r>
      <w:r>
        <w:rPr>
          <w:rFonts w:ascii="Times New Roman" w:hAnsi="Times New Roman"/>
          <w:b w:val="false"/>
          <w:i w:val="false"/>
          <w:color w:val="000000"/>
          <w:sz w:val="22"/>
        </w:rPr>
        <w:t> </w:t>
      </w:r>
      <w:r>
        <w:rPr>
          <w:rFonts w:ascii="Times New Roman" w:hAnsi="Times New Roman"/>
          <w:b w:val="false"/>
          <w:i w:val="false"/>
          <w:color w:val="000000"/>
          <w:sz w:val="22"/>
        </w:rPr>
        <w:t>means a clinical diagnostic assessment performed by an optometrist or ophthalmologist to assess a person’s level of vision and to detect any abnormality or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“Elementary school”</w:t>
      </w:r>
      <w:r>
        <w:rPr>
          <w:rFonts w:ascii="Times New Roman" w:hAnsi="Times New Roman"/>
          <w:b w:val="false"/>
          <w:i w:val="false"/>
          <w:color w:val="000000"/>
          <w:sz w:val="22"/>
        </w:rPr>
        <w:t> </w:t>
      </w:r>
      <w:r>
        <w:rPr>
          <w:rFonts w:ascii="Times New Roman" w:hAnsi="Times New Roman"/>
          <w:b w:val="false"/>
          <w:i w:val="false"/>
          <w:color w:val="000000"/>
          <w:sz w:val="22"/>
        </w:rPr>
        <w:t>means an Iowa public or accredited nonpublic school that a kindergarten or third grade student would attend.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KidSight”</w:t>
      </w:r>
      <w:r>
        <w:rPr>
          <w:rFonts w:ascii="Times New Roman" w:hAnsi="Times New Roman"/>
          <w:b w:val="false"/>
          <w:i w:val="false"/>
          <w:color w:val="000000"/>
          <w:sz w:val="22"/>
        </w:rPr>
        <w:t> </w:t>
      </w:r>
      <w:r>
        <w:rPr>
          <w:rFonts w:ascii="Times New Roman" w:hAnsi="Times New Roman"/>
          <w:b w:val="false"/>
          <w:i w:val="false"/>
          <w:color w:val="000000"/>
          <w:sz w:val="22"/>
        </w:rPr>
        <w:t>means a joint project of the lions clubs of Iowa and the university of Iowa, department of ophthalmology and visual sciences, dedicated to enhancing the early detection and treatment of vision impairments in Iowa’s young children (target population six months of age through kindergarten age) through screening and public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“IRIS”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immunization registry information system as established in </w:t>
      </w:r>
      <w:hyperlink r:id="rId5">
        <w:r>
          <w:rPr>
            <w:rStyle w:val="Hyperlink"/>
            <w:rFonts w:ascii="Times New Roman" w:hAnsi="Times New Roman"/>
            <w:b w:val="false"/>
            <w:i w:val="false"/>
            <w:color w:val="000000"/>
            <w:sz w:val="22"/>
          </w:rPr>
          <w:t>641—Chapter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“Online vision screening”</w:t>
      </w:r>
      <w:r>
        <w:rPr>
          <w:rFonts w:ascii="Times New Roman" w:hAnsi="Times New Roman"/>
          <w:b w:val="false"/>
          <w:i w:val="false"/>
          <w:color w:val="000000"/>
          <w:sz w:val="22"/>
        </w:rPr>
        <w:t> </w:t>
      </w:r>
      <w:r>
        <w:rPr>
          <w:rFonts w:ascii="Times New Roman" w:hAnsi="Times New Roman"/>
          <w:b w:val="false"/>
          <w:i w:val="false"/>
          <w:color w:val="000000"/>
          <w:sz w:val="22"/>
        </w:rPr>
        <w:t>means a vision screening test administered from the internet to a child to assess vision and includes vision test results and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“Ophthalmologist”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medicine and surgery or osteopathic medicine and surgery pursuant to Iowa Code chapter </w:t>
      </w:r>
      <w:hyperlink r:id="rId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board-certified in ophthalmology as a specialist in medical and surgical eye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“Optometrist”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optometry pursuant to Iowa Code chapter </w:t>
      </w:r>
      <w:hyperlink r:id="rId7">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“Photoscreening”</w:t>
      </w:r>
      <w:r>
        <w:rPr>
          <w:rFonts w:ascii="Times New Roman" w:hAnsi="Times New Roman"/>
          <w:b w:val="false"/>
          <w:i w:val="false"/>
          <w:color w:val="000000"/>
          <w:sz w:val="22"/>
        </w:rPr>
        <w:t> </w:t>
      </w:r>
      <w:r>
        <w:rPr>
          <w:rFonts w:ascii="Times New Roman" w:hAnsi="Times New Roman"/>
          <w:b w:val="false"/>
          <w:i w:val="false"/>
          <w:color w:val="000000"/>
          <w:sz w:val="22"/>
        </w:rPr>
        <w:t>means a method of vision screening employing an automated technique that uses the red reflex of the eye to screen for eye problems and produces immediate readable results and a timely report of the results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medicine and surgery or osteopathic medicine and surgery pursuant to Iowa Code chapter </w:t>
      </w:r>
      <w:hyperlink r:id="rId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as a physician associate pursuant to Iowa Code chapter </w:t>
      </w:r>
      <w:hyperlink r:id="rId9">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“Potential vision impairment”</w:t>
      </w:r>
      <w:r>
        <w:rPr>
          <w:rFonts w:ascii="Times New Roman" w:hAnsi="Times New Roman"/>
          <w:b w:val="false"/>
          <w:i w:val="false"/>
          <w:color w:val="000000"/>
          <w:sz w:val="22"/>
        </w:rPr>
        <w:t> </w:t>
      </w:r>
      <w:r>
        <w:rPr>
          <w:rFonts w:ascii="Times New Roman" w:hAnsi="Times New Roman"/>
          <w:b w:val="false"/>
          <w:i w:val="false"/>
          <w:color w:val="000000"/>
          <w:sz w:val="22"/>
        </w:rPr>
        <w:t>means that a child’s vision appears to be compromised and there is reason for the child to be seen by an ophthalmologist or optometrist.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 vision card”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card distributed by the Iowa optometric association to all schools in Iowa pursuant to Iowa Code section </w:t>
      </w:r>
      <w:hyperlink r:id="rId10">
        <w:r>
          <w:rPr>
            <w:rStyle w:val="Hyperlink"/>
            <w:rFonts w:ascii="Times New Roman" w:hAnsi="Times New Roman"/>
            <w:b w:val="false"/>
            <w:i w:val="false"/>
            <w:color w:val="000000"/>
            <w:sz w:val="22"/>
          </w:rPr>
          <w:t>280.7A</w:t>
        </w:r>
      </w:hyperlink>
      <w:r>
        <w:rPr>
          <w:rFonts w:ascii="Times New Roman" w:hAnsi="Times New Roman"/>
          <w:b w:val="false"/>
          <w:i w:val="false"/>
          <w:color w:val="000000"/>
          <w:sz w:val="22"/>
        </w:rPr>
        <w:t>. The student vision card recommends children receive a complete eye health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“Vision screening”</w:t>
      </w:r>
      <w:r>
        <w:rPr>
          <w:rFonts w:ascii="Times New Roman" w:hAnsi="Times New Roman"/>
          <w:b w:val="false"/>
          <w:i w:val="false"/>
          <w:color w:val="000000"/>
          <w:sz w:val="22"/>
        </w:rPr>
        <w:t> </w:t>
      </w:r>
      <w:r>
        <w:rPr>
          <w:rFonts w:ascii="Times New Roman" w:hAnsi="Times New Roman"/>
          <w:b w:val="false"/>
          <w:i w:val="false"/>
          <w:color w:val="000000"/>
          <w:sz w:val="22"/>
        </w:rPr>
        <w:t>means an eye testing program that is age and developmentally appropriate and that assesses visual acuity or other risk factors contributing to refractive errors and other vision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9269C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5.7.1.pdf" Type="http://schemas.openxmlformats.org/officeDocument/2006/relationships/hyperlink" Id="rId4"/>
    <Relationship TargetMode="External" Target="https://www.legis.iowa.gov/docs/iac/chapter/641.7.pdf" Type="http://schemas.openxmlformats.org/officeDocument/2006/relationships/hyperlink" Id="rId5"/>
    <Relationship TargetMode="External" Target="https://www.legis.iowa.gov/docs/ico/chapter/148.pdf" Type="http://schemas.openxmlformats.org/officeDocument/2006/relationships/hyperlink" Id="rId6"/>
    <Relationship TargetMode="External" Target="https://www.legis.iowa.gov/docs/ico/chapter/154.pdf" Type="http://schemas.openxmlformats.org/officeDocument/2006/relationships/hyperlink" Id="rId7"/>
    <Relationship TargetMode="External" Target="https://www.legis.iowa.gov/docs/ico/chapter/148.pdf" Type="http://schemas.openxmlformats.org/officeDocument/2006/relationships/hyperlink" Id="rId8"/>
    <Relationship TargetMode="External" Target="https://www.legis.iowa.gov/docs/ico/chapter/148C.pdf" Type="http://schemas.openxmlformats.org/officeDocument/2006/relationships/hyperlink" Id="rId9"/>
    <Relationship TargetMode="External" Target="https://www.legis.iowa.gov/docs/ico/chapter/280.7A.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