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641—51.3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Persons excluded.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Exclusions to these rules are permitted on an individual basis for religious and financial hardship reasons. Applicants approved for a religious or financial hardship exemption shall submit to the admitting official a valid department certificate of dental screening exemption.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51.3(1)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Religious exemption. A religious exemption may be granted to an applicant if the dental screening conflicts with a genuine and sincere religious belief.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certificate of dental screening exemption for religious reasons shall attest that the dental screening conflicts with a genuine and sincere religious belief and that the belief is in fact religious and not based merely on philosophical, scientific, moral, personal, or medical opposition to dental screenings.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certificate of dental screening exemption for religious reasons shall be signed and dated by the applicant or, if the applicant is a minor, by the parent or guardian.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be valid, the certificate of dental screening exemption for religious reasons shall be the department certificate or a form approved in writing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51.3(2)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Financial hardship exemption. A financial hardship exemption may be granted to an applicant who is unduly burdened by the cost of a dental screening.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certificate of dental screening exemption for financial hardship reasons shall attest that dental screening would cause a genuine financial burden to the applicant.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certificate of dental screening exemption for financial hardship reasons shall be signed and dated by a dentist, dental hygienist, physician, physician associate, or nurse.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certificate of dental screening exemption for financial hardship reasons shall include the provider type and the provider’s name, business address, and telephone number.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be valid, the certificate of dental screening exemption for financial hardship reasons shall be the department certificate or a form approved in writing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51.3(3)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faxed copy, photocopy, or electronic copy of the valid certificate of dental screening exemption is acceptable.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9321C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8/1/25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