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641—196.2</w:t>
      </w:r>
      <w:r>
        <w:rPr>
          <w:rFonts w:ascii="Times New Roman" w:hAnsi="Times New Roman"/>
          <w:b/>
          <w:i w:val="false"/>
          <w:color w:val="000000"/>
          <w:sz w:val="22"/>
        </w:rPr>
        <w:t xml:space="preserve">(272C,147D) </w:t>
      </w:r>
      <w:r>
        <w:rPr>
          <w:rFonts w:ascii="Times New Roman" w:hAnsi="Times New Roman"/>
          <w:b/>
          <w:i w:val="false"/>
          <w:color w:val="000000"/>
          <w:sz w:val="22"/>
        </w:rPr>
        <w:t xml:space="preserve">Military education, training, and service credit. </w:t>
      </w:r>
      <w:r>
        <w:rPr>
          <w:rFonts w:ascii="Times New Roman" w:hAnsi="Times New Roman"/>
          <w:b w:val="false"/>
          <w:i w:val="false"/>
          <w:color w:val="000000"/>
          <w:sz w:val="22"/>
        </w:rPr>
        <w:t>A military service applicant may apply for credit for verified military education, training, or service toward any experience or educational requirement for licensure by submitting a military service application form to the licensing authority. No fee is required with submission of an application for military service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licensing authority shall grant credit requested in the application pursuant to the emergency medical services (EMS) personnel licensure interstate compact described in Iowa Code section </w:t>
      </w:r>
      <w:hyperlink r:id="rId4">
        <w:r>
          <w:rPr>
            <w:rStyle w:val="Hyperlink"/>
            <w:rFonts w:ascii="Times New Roman" w:hAnsi="Times New Roman"/>
            <w:b w:val="false"/>
            <w:i w:val="false"/>
            <w:color w:val="000000"/>
            <w:sz w:val="22"/>
          </w:rPr>
          <w:t>147D.1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196.2(2)</w:t>
      </w:r>
      <w:r>
        <w:rPr>
          <w:rFonts w:ascii="Times New Roman" w:hAnsi="Times New Roman"/>
          <w:b w:val="false"/>
          <w:i w:val="false"/>
          <w:color w:val="000000"/>
          <w:sz w:val="22"/>
        </w:rPr>
        <w:t> </w:t>
      </w:r>
      <w:r>
        <w:rPr>
          <w:rFonts w:ascii="Times New Roman" w:hAnsi="Times New Roman"/>
          <w:b w:val="false"/>
          <w:i w:val="false"/>
          <w:color w:val="000000"/>
          <w:sz w:val="22"/>
        </w:rPr>
        <w:t>The licensing authority shall inform the military service applicant in writing of the credit, if any, given toward an experience or educational qualification for licensure or explain why no credit was granted. The applicant may request reconsideration upon submission of additional documentation or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196.2(3)</w:t>
      </w:r>
      <w:r>
        <w:rPr>
          <w:rFonts w:ascii="Times New Roman" w:hAnsi="Times New Roman"/>
          <w:b w:val="false"/>
          <w:i w:val="false"/>
          <w:color w:val="000000"/>
          <w:sz w:val="22"/>
        </w:rPr>
        <w:t> </w:t>
      </w:r>
      <w:r>
        <w:rPr>
          <w:rFonts w:ascii="Times New Roman" w:hAnsi="Times New Roman"/>
          <w:b w:val="false"/>
          <w:i w:val="false"/>
          <w:color w:val="000000"/>
          <w:sz w:val="22"/>
        </w:rPr>
        <w:t xml:space="preserve">A military service applicant who is aggrieved by the licensing authority’s decision may appeal pursuant to the provisions of </w:t>
      </w:r>
      <w:hyperlink r:id="rId5">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except that no fees or costs shall be assessed against the military service applicant in connection with a contested case conducted pursuant to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196.2(4)</w:t>
      </w:r>
      <w:r>
        <w:rPr>
          <w:rFonts w:ascii="Times New Roman" w:hAnsi="Times New Roman"/>
          <w:b w:val="false"/>
          <w:i w:val="false"/>
          <w:color w:val="000000"/>
          <w:sz w:val="22"/>
        </w:rPr>
        <w:t> </w:t>
      </w:r>
      <w:r>
        <w:rPr>
          <w:rFonts w:ascii="Times New Roman" w:hAnsi="Times New Roman"/>
          <w:b w:val="false"/>
          <w:i w:val="false"/>
          <w:color w:val="000000"/>
          <w:sz w:val="22"/>
        </w:rPr>
        <w:t>The licensing authority shall grant or deny the credit requested in the military service application prior to ruling on the application for licensure. The applicant shall not be required to submit any fees in connection with the licensure application unless the licensing authority grants the credit requested in the military service application. If the licensing authority does not grant the credit requested in the military service application, the applicant may withdraw the licensure application or request that the licensure application be placed in pending status for up to one year or as mutually agreed. The withdrawal of a licensure application shall not preclude subsequent applications supported by additional documentation or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8128C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47D.1.pdf" Type="http://schemas.openxmlformats.org/officeDocument/2006/relationships/hyperlink" Id="rId4"/>
    <Relationship TargetMode="External" Target="https://www.legis.iowa.gov/docs/iac/chapter/441.2506.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