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641—156.4</w:t>
      </w:r>
      <w:r>
        <w:rPr>
          <w:rFonts w:ascii="Times New Roman" w:hAnsi="Times New Roman"/>
          <w:b/>
          <w:i w:val="false"/>
          <w:color w:val="000000"/>
          <w:sz w:val="22"/>
        </w:rPr>
        <w:t xml:space="preserve">(204) </w:t>
      </w:r>
      <w:r>
        <w:rPr>
          <w:rFonts w:ascii="Times New Roman" w:hAnsi="Times New Roman"/>
          <w:b/>
          <w:i w:val="false"/>
          <w:color w:val="000000"/>
          <w:sz w:val="22"/>
        </w:rPr>
        <w:t xml:space="preserve">Packaging and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consumable hemp product intended for individual retail sale is labeled such that a reasonable consumer would plainly identify the product as a consumable hemp product and contains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Lot number for the batch;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Brand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Product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List of ingredients;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Name, telephone number, and email address of the product manufacturer. If the registered manufacturer uses a contracted third-party or white-label manufacturer, the name of that entity must also be included on the container or label and is not proprietary or confidential under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specific cannabinoids are contained within or marketed for the product, the number of milligrams of each cannabinoid per serving and serving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analysis that the batch contained a total THC concentration that did not exceed 0.3 percent on a dry weight basis as calculated pursuant to an official test as provided in Iowa Code section </w:t>
      </w:r>
      <w:hyperlink r:id="rId5">
        <w:r>
          <w:rPr>
            <w:rStyle w:val="Hyperlink"/>
            <w:rFonts w:ascii="Times New Roman" w:hAnsi="Times New Roman"/>
            <w:b w:val="false"/>
            <w:i w:val="false"/>
            <w:color w:val="000000"/>
            <w:sz w:val="22"/>
          </w:rPr>
          <w:t>204.8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declaration of the net quantity of contents indicating the number of servings and total THC per serving and per container in compliance with Iowa Code section </w:t>
      </w:r>
      <w:hyperlink r:id="rId6">
        <w:r>
          <w:rPr>
            <w:rStyle w:val="Hyperlink"/>
            <w:rFonts w:ascii="Times New Roman" w:hAnsi="Times New Roman"/>
            <w:b w:val="false"/>
            <w:i w:val="false"/>
            <w:color w:val="000000"/>
            <w:sz w:val="22"/>
          </w:rPr>
          <w:t>204.2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warning label containing the following or substantially similar language, in addition to any other warning language necessitated by the specific product. This warning label may be divided into multiple sections on a label, provided that all the information is included in a prominent and conspicuous manner as compared to other words, statements, or designs on the container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product has not been evaluated or approved by the United States Food and Drug Administration (unless such approval has been secured);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potential for the product to cause the consumer to fail a drug test for THC;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products containing THC may cause impairment and impact a consumer’s ability to operate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product is not recommended for use by pregnant or breastfeeding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that product use may result in health risks and medication interactions;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in capital letters to KEEP THIS PRODUCT OUT OF REACH OF CHILDREN.</w:t>
      </w:r>
    </w:p>
    <w:p>
      <w:pPr>
        <w:spacing w:before="0" w:after="0"/>
        <w:ind w:left="120"/>
        <w:jc w:val="both"/>
      </w:pPr>
      <w:r>
        <w:rPr>
          <w:rFonts w:ascii="Times New Roman" w:hAnsi="Times New Roman"/>
          <w:b w:val="false"/>
          <w:i w:val="false"/>
          <w:color w:val="000000"/>
          <w:sz w:val="22"/>
        </w:rPr>
        <w:t>The labeling must not contain any claim that the product may be used or is effective for the prevention, treatment, or cure of a disease or that it may be used to alter the structure or function of human or animal bodies unless the claim has been approved by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The labeling mandated in paragraphs </w:t>
      </w:r>
      <w:hyperlink r:id="rId7">
        <w:r>
          <w:rPr>
            <w:rStyle w:val="Hyperlink"/>
            <w:rFonts w:ascii="Times New Roman" w:hAnsi="Times New Roman"/>
            <w:b w:val="false"/>
            <w:i w:val="false"/>
            <w:color w:val="000000"/>
            <w:sz w:val="22"/>
          </w:rPr>
          <w:t>156.4(1)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may be in the form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uniform resource locator (URL) for the manufacturer’s internet website that provides or links to the information mandated by this 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QR code or other bar code that may be scanned and that leads to the information required on the label.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04.8.pdf" Type="http://schemas.openxmlformats.org/officeDocument/2006/relationships/hyperlink" Id="rId5"/>
    <Relationship TargetMode="External" Target="https://www.legis.iowa.gov/docs/ico/chapter/204.2.pdf" Type="http://schemas.openxmlformats.org/officeDocument/2006/relationships/hyperlink" Id="rId6"/>
    <Relationship TargetMode="External" Target="https://www.legis.iowa.gov/docs/iac/rule/641.156.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