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641—155.11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Denial, suspension or revocation of a license. </w:t>
      </w:r>
      <w:r>
        <w:rPr>
          <w:rFonts w:ascii="Times New Roman" w:hAnsi="Times New Roman"/>
          <w:b w:val="false"/>
          <w:i w:val="false"/>
          <w:color w:val="000000"/>
          <w:sz w:val="22"/>
        </w:rPr>
        <w:t xml:space="preserve">The department may deny an application for a license. The department may suspend or revoke a license for any of the grounds for discipline pursuant to subrule </w:t>
      </w:r>
      <w:hyperlink r:id="rId4">
        <w:r>
          <w:rPr>
            <w:rStyle w:val="Hyperlink"/>
            <w:rFonts w:ascii="Times New Roman" w:hAnsi="Times New Roman"/>
            <w:b w:val="false"/>
            <w:i w:val="false"/>
            <w:color w:val="000000"/>
            <w:sz w:val="22"/>
          </w:rPr>
          <w:t>155.10(4)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155.11(1)</w:t>
      </w:r>
      <w:r>
        <w:rPr>
          <w:rFonts w:ascii="Times New Roman" w:hAnsi="Times New Roman"/>
          <w:b w:val="false"/>
          <w:i w:val="false"/>
          <w:color w:val="000000"/>
          <w:sz w:val="22"/>
        </w:rPr>
        <w:t> </w:t>
      </w:r>
      <w:r>
        <w:rPr>
          <w:rFonts w:ascii="Times New Roman" w:hAnsi="Times New Roman"/>
          <w:b w:val="false"/>
          <w:i/>
          <w:color w:val="000000"/>
          <w:sz w:val="22"/>
        </w:rPr>
        <w:t xml:space="preserve">Initial notice from the department. </w:t>
      </w:r>
      <w:r>
        <w:rPr>
          <w:rFonts w:ascii="Times New Roman" w:hAnsi="Times New Roman"/>
          <w:b w:val="false"/>
          <w:i w:val="false"/>
          <w:color w:val="000000"/>
          <w:sz w:val="22"/>
        </w:rPr>
        <w:t xml:space="preserve">When the department determines to deny, suspend or revoke a one-, two-, or three-year license or a license under deemed status, the department will notify the applicant or licensee by certified mail, return receipt requested, in accordance with </w:t>
      </w:r>
      <w:hyperlink r:id="rId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Such notice will provide the applicant or licensee the opportunity to submit a written corrective action plan or written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corrective action plan or objections. </w:t>
      </w:r>
      <w:r>
        <w:rPr>
          <w:rFonts w:ascii="Times New Roman" w:hAnsi="Times New Roman"/>
          <w:b w:val="false"/>
          <w:i w:val="false"/>
          <w:color w:val="000000"/>
          <w:sz w:val="22"/>
        </w:rPr>
        <w:t>An applicant notified of denial of a one-, two-, or three-year license or a license under deemed status or a licensee notified of suspension or revocation of a license may submit a written corrective action plan or written objections to the department within 20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 xml:space="preserve">The written corrective action plan must meet the requirements of paragraphs </w:t>
      </w:r>
      <w:hyperlink r:id="rId6">
        <w:r>
          <w:rPr>
            <w:rStyle w:val="Hyperlink"/>
            <w:rFonts w:ascii="Times New Roman" w:hAnsi="Times New Roman"/>
            <w:b w:val="false"/>
            <w:i w:val="false"/>
            <w:color w:val="000000"/>
            <w:sz w:val="22"/>
          </w:rPr>
          <w:t>155.9(1)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If the applicant or licensee submits a written corrective action plan, the applicant or licensee shall have 90 days from the date of submission within which to show compliance with the plan. The applicant or licensee shall submit any information to the department that the department requests or that the applicant or licensee deems pertinent to show compliance with the plan. The department may inspect the licensee, including on-site inspection, to review the implemented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If the applicant or licensee submits written objections, the applicant or licensee shall submit to the department any information that the department or the applicant or licensee deems pertinent to support the applicant’s or licensee’s defense.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155.11(3)</w:t>
      </w:r>
      <w:r>
        <w:rPr>
          <w:rFonts w:ascii="Times New Roman" w:hAnsi="Times New Roman"/>
          <w:b w:val="false"/>
          <w:i w:val="false"/>
          <w:color w:val="000000"/>
          <w:sz w:val="22"/>
        </w:rPr>
        <w:t> </w:t>
      </w:r>
      <w:r>
        <w:rPr>
          <w:rFonts w:ascii="Times New Roman" w:hAnsi="Times New Roman"/>
          <w:b w:val="false"/>
          <w:i/>
          <w:color w:val="000000"/>
          <w:sz w:val="22"/>
        </w:rPr>
        <w:t xml:space="preserve">Decision of department. </w:t>
      </w:r>
      <w:r>
        <w:rPr>
          <w:rFonts w:ascii="Times New Roman" w:hAnsi="Times New Roman"/>
          <w:b w:val="false"/>
          <w:i w:val="false"/>
          <w:color w:val="000000"/>
          <w:sz w:val="22"/>
        </w:rPr>
        <w:t>Following receipt of a written corrective action plan and expiration of the 90-day compliance period, or following receipt of written objections, or when a written corrective action plan or written objections have not been received within the 20-day time period, the department will determine whether to proceed with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155.11(4)</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and opportunity for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determines to deny, suspend, or revoke a license, the applicant or licensee shall be given written notice by restricted certified mail pursuant to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may request a hearing on the determination. The request must be in writing and sent to the department’s address within 30 days of the notice issued by the department. Failure to request a hearing will result in final action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155.11(5)</w:t>
      </w:r>
      <w:r>
        <w:rPr>
          <w:rFonts w:ascii="Times New Roman" w:hAnsi="Times New Roman"/>
          <w:b w:val="false"/>
          <w:i w:val="false"/>
          <w:color w:val="000000"/>
          <w:sz w:val="22"/>
        </w:rPr>
        <w:t> </w:t>
      </w:r>
      <w:r>
        <w:rPr>
          <w:rFonts w:ascii="Times New Roman" w:hAnsi="Times New Roman"/>
          <w:b w:val="false"/>
          <w:i/>
          <w:color w:val="000000"/>
          <w:sz w:val="22"/>
        </w:rPr>
        <w:t xml:space="preserve">Summary suspension. </w:t>
      </w:r>
      <w:r>
        <w:rPr>
          <w:rFonts w:ascii="Times New Roman" w:hAnsi="Times New Roman"/>
          <w:b w:val="false"/>
          <w:i w:val="false"/>
          <w:color w:val="000000"/>
          <w:sz w:val="22"/>
        </w:rPr>
        <w:t xml:space="preserve">If the department finds that the health, safety or welfare of the public is endangered by continued operation of a program, the department may order summary suspension of a license, pursuant to Iowa Code sections </w:t>
      </w:r>
      <w:hyperlink r:id="rId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pending proceedings for revocation or other actions in accordance with Iowa Code sections </w:t>
      </w:r>
      <w:hyperlink r:id="rId1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These proceedings shall be promptly instituted and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55.10.pdf" Type="http://schemas.openxmlformats.org/officeDocument/2006/relationships/hyperlink" Id="rId4"/>
    <Relationship TargetMode="External" Target="https://www.legis.iowa.gov/docs/iac/chapter/441.16.pdf" Type="http://schemas.openxmlformats.org/officeDocument/2006/relationships/hyperlink" Id="rId5"/>
    <Relationship TargetMode="External" Target="https://www.legis.iowa.gov/docs/iac/rule/641.155.9.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co/chapter/17A.18.pdf" Type="http://schemas.openxmlformats.org/officeDocument/2006/relationships/hyperlink" Id="rId8"/>
    <Relationship TargetMode="External" Target="https://www.legis.iowa.gov/docs/ico/chapter/125.15A.pdf" Type="http://schemas.openxmlformats.org/officeDocument/2006/relationships/hyperlink" Id="rId9"/>
    <Relationship TargetMode="External" Target="https://www.legis.iowa.gov/docs/ico/chapter/17A.18A.pdf" Type="http://schemas.openxmlformats.org/officeDocument/2006/relationships/hyperlink" Id="rId10"/>
    <Relationship TargetMode="External" Target="https://www.legis.iowa.gov/docs/ico/chapter/125.15A.pdf" Type="http://schemas.openxmlformats.org/officeDocument/2006/relationships/hyperlink" Id="rId11"/>
    <Relationship TargetMode="External" Target="https://www.legis.iowa.gov/docs/iac/chapter/441.250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