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641—154.46</w:t>
      </w:r>
      <w:r>
        <w:rPr>
          <w:rFonts w:ascii="Times New Roman" w:hAnsi="Times New Roman"/>
          <w:b/>
          <w:i w:val="false"/>
          <w:color w:val="000000"/>
          <w:sz w:val="22"/>
        </w:rPr>
        <w:t xml:space="preserve">(124E) </w:t>
      </w:r>
      <w:r>
        <w:rPr>
          <w:rFonts w:ascii="Times New Roman" w:hAnsi="Times New Roman"/>
          <w:b/>
          <w:i w:val="false"/>
          <w:color w:val="000000"/>
          <w:sz w:val="22"/>
        </w:rPr>
        <w:t xml:space="preserve">Petitions for the addition or removal of medical conditions, medical treatments or debilitating diseases.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124E.5(3)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board shall accept and review petitions to modify the list of debilitating medical conditions for the medical use of cannabidiol. The petition shall be in accordance with 7—Chapter </w:t>
      </w:r>
      <w:hyperlink r:id="rId5">
        <w:r>
          <w:rPr>
            <w:rStyle w:val="Hyperlink"/>
            <w:rFonts w:ascii="Times New Roman" w:hAnsi="Times New Roman"/>
            <w:b w:val="false"/>
            <w:i w:val="false"/>
            <w:color w:val="000000"/>
            <w:sz w:val="22"/>
          </w:rPr>
          <w:t>2502</w:t>
        </w:r>
      </w:hyperlink>
      <w:r>
        <w:rPr>
          <w:rFonts w:ascii="Times New Roman" w:hAnsi="Times New Roman"/>
          <w:b w:val="false"/>
          <w:i w:val="false"/>
          <w:color w:val="000000"/>
          <w:sz w:val="22"/>
        </w:rPr>
        <w:t>, except that the caption should read “Petition for Addition or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154.46(1)</w:t>
      </w:r>
      <w:r>
        <w:rPr>
          <w:rFonts w:ascii="Times New Roman" w:hAnsi="Times New Roman"/>
          <w:b w:val="false"/>
          <w:i w:val="false"/>
          <w:color w:val="000000"/>
          <w:sz w:val="22"/>
        </w:rPr>
        <w:t> </w:t>
      </w:r>
      <w:r>
        <w:rPr>
          <w:rFonts w:ascii="Times New Roman" w:hAnsi="Times New Roman"/>
          <w:b w:val="false"/>
          <w:i/>
          <w:color w:val="000000"/>
          <w:sz w:val="22"/>
        </w:rPr>
        <w:t xml:space="preserve">Inquiries. </w:t>
      </w:r>
      <w:r>
        <w:rPr>
          <w:rFonts w:ascii="Times New Roman" w:hAnsi="Times New Roman"/>
          <w:b w:val="false"/>
          <w:i w:val="false"/>
          <w:color w:val="000000"/>
          <w:sz w:val="22"/>
        </w:rPr>
        <w:t xml:space="preserve">Inquiries concerning the status of a petition may be made to the bureau of cannabis regulation at the department’s address.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board may request that the petitioner submit additional information concerning the petition. The board may also solicit comments from any person on the substance of the petition. Comments on the substance of the petition may be submitted to the board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154.46(3)</w:t>
      </w:r>
      <w:r>
        <w:rPr>
          <w:rFonts w:ascii="Times New Roman" w:hAnsi="Times New Roman"/>
          <w:b w:val="false"/>
          <w:i w:val="false"/>
          <w:color w:val="000000"/>
          <w:sz w:val="22"/>
        </w:rPr>
        <w:t> </w:t>
      </w:r>
      <w:r>
        <w:rPr>
          <w:rFonts w:ascii="Times New Roman" w:hAnsi="Times New Roman"/>
          <w:b w:val="false"/>
          <w:i/>
          <w:color w:val="000000"/>
          <w:sz w:val="22"/>
        </w:rPr>
        <w:t xml:space="preserve">Presentation to the board. </w:t>
      </w:r>
      <w:r>
        <w:rPr>
          <w:rFonts w:ascii="Times New Roman" w:hAnsi="Times New Roman"/>
          <w:b w:val="false"/>
          <w:i w:val="false"/>
          <w:color w:val="000000"/>
          <w:sz w:val="22"/>
        </w:rPr>
        <w:t>The board may request or allow the petitioner to make an oral presentation of the contents of a petition at a board meeting following submission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154.46(4)</w:t>
      </w:r>
      <w:r>
        <w:rPr>
          <w:rFonts w:ascii="Times New Roman" w:hAnsi="Times New Roman"/>
          <w:b w:val="false"/>
          <w:i w:val="false"/>
          <w:color w:val="000000"/>
          <w:sz w:val="22"/>
        </w:rPr>
        <w:t> </w:t>
      </w:r>
      <w:r>
        <w:rPr>
          <w:rFonts w:ascii="Times New Roman" w:hAnsi="Times New Roman"/>
          <w:b w:val="false"/>
          <w:i/>
          <w:color w:val="000000"/>
          <w:sz w:val="22"/>
        </w:rPr>
        <w:t xml:space="preserve">Board response. </w:t>
      </w:r>
      <w:r>
        <w:rPr>
          <w:rFonts w:ascii="Times New Roman" w:hAnsi="Times New Roman"/>
          <w:b w:val="false"/>
          <w:i w:val="false"/>
          <w:color w:val="000000"/>
          <w:sz w:val="22"/>
        </w:rPr>
        <w:t xml:space="preserve">The board shall notify the petitioner in writing of the decision within six months after the filing, unless the petitioner agrees to a time extension. If the petition is granted, the board will recommend addition or removal of the medical condition, medical treatment or debilitating disease to the board of medicine. If the petition is denied, the board will provide the rationale for the denial. Notification occurs when the board mails the writing to the petitioner.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154.46(5)</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agency’s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4E.5.pdf" Type="http://schemas.openxmlformats.org/officeDocument/2006/relationships/hyperlink" Id="rId4"/>
    <Relationship TargetMode="External" Target="https://www.legis.iowa.gov/docs/iac/chapter/641.250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