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641—142.4</w:t>
      </w:r>
      <w:r>
        <w:rPr>
          <w:rFonts w:ascii="Times New Roman" w:hAnsi="Times New Roman"/>
          <w:b/>
          <w:i w:val="false"/>
          <w:color w:val="000000"/>
          <w:sz w:val="22"/>
        </w:rPr>
        <w:t xml:space="preserve">(144A) </w:t>
      </w:r>
      <w:r>
        <w:rPr>
          <w:rFonts w:ascii="Times New Roman" w:hAnsi="Times New Roman"/>
          <w:b/>
          <w:i w:val="false"/>
          <w:color w:val="000000"/>
          <w:sz w:val="22"/>
        </w:rPr>
        <w:t xml:space="preserve">Guidelines for non-EMS health care providers, patients, and organizations. </w:t>
      </w:r>
      <w:r>
        <w:rPr>
          <w:rFonts w:ascii="Times New Roman" w:hAnsi="Times New Roman"/>
          <w:b w:val="false"/>
          <w:i w:val="false"/>
          <w:color w:val="000000"/>
          <w:sz w:val="22"/>
        </w:rPr>
        <w:t xml:space="preserve">In order to encourage understanding and implementation of OOH DNR orders and protocols throughout Iowa and honor a qualified patient’s wishes and intent regarding the provision of life-sustaining procedures in an out-of-hospital setting consistent with the requirements of Iowa Code chapter </w:t>
      </w:r>
      <w:hyperlink r:id="rId4">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the following guidelines should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142.4(1)</w:t>
      </w:r>
      <w:r>
        <w:rPr>
          <w:rFonts w:ascii="Times New Roman" w:hAnsi="Times New Roman"/>
          <w:b w:val="false"/>
          <w:i w:val="false"/>
          <w:color w:val="000000"/>
          <w:sz w:val="22"/>
        </w:rPr>
        <w:t> </w:t>
      </w:r>
      <w:r>
        <w:rPr>
          <w:rFonts w:ascii="Times New Roman" w:hAnsi="Times New Roman"/>
          <w:b w:val="false"/>
          <w:i/>
          <w:color w:val="000000"/>
          <w:sz w:val="22"/>
        </w:rPr>
        <w:t xml:space="preserve">Attending physicians or attending physician associates who issue OOH DNR orders. </w:t>
      </w:r>
      <w:r>
        <w:rPr>
          <w:rFonts w:ascii="Times New Roman" w:hAnsi="Times New Roman"/>
          <w:b w:val="false"/>
          <w:i w:val="false"/>
          <w:color w:val="000000"/>
          <w:sz w:val="22"/>
        </w:rPr>
        <w:t>The attending physician or attending physician associate should ensure that the following are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that the patient is qualified because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an adult;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terminal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Explain to the patient or the individual legally authorized to act on the patient’s behalf the implications of an OOH DNR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qualified patient or individual legally authorized to act on the patient’s behalf decides that the patient should not be resuscitated, the attending physician or attending physician associate may issue the OOH DNR order on the prescribed uniform order form. The order will direct health care providers to withhold or withdraw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to the qualified patient or the individual legally authorized to act on the patient’s behalf how the OOH DNR order is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a copy of the order in the qualified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a copy of the order to the qualified patient or the individual legally authorized to act on the patient’s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142.4(2)</w:t>
      </w:r>
      <w:r>
        <w:rPr>
          <w:rFonts w:ascii="Times New Roman" w:hAnsi="Times New Roman"/>
          <w:b w:val="false"/>
          <w:i w:val="false"/>
          <w:color w:val="000000"/>
          <w:sz w:val="22"/>
        </w:rPr>
        <w:t> </w:t>
      </w:r>
      <w:r>
        <w:rPr>
          <w:rFonts w:ascii="Times New Roman" w:hAnsi="Times New Roman"/>
          <w:b w:val="false"/>
          <w:i/>
          <w:color w:val="000000"/>
          <w:sz w:val="22"/>
        </w:rPr>
        <w:t xml:space="preserve">Qualified patients or legally authorized persons. </w:t>
      </w:r>
      <w:r>
        <w:rPr>
          <w:rFonts w:ascii="Times New Roman" w:hAnsi="Times New Roman"/>
          <w:b w:val="false"/>
          <w:i w:val="false"/>
          <w:color w:val="000000"/>
          <w:sz w:val="22"/>
        </w:rPr>
        <w:t>A qualified patient or a person legally authorized to act on a qualified patient’s behalf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an informed decision concerning resuscitation in the face of a terminal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qualified patient’s family members are aware of this decision and inform them of the location of the OOH DNR order and the purpose of an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Understand the process for revocation as described in rule </w:t>
      </w:r>
      <w:hyperlink r:id="rId5">
        <w:r>
          <w:rPr>
            <w:rStyle w:val="Hyperlink"/>
            <w:rFonts w:ascii="Times New Roman" w:hAnsi="Times New Roman"/>
            <w:b w:val="false"/>
            <w:i w:val="false"/>
            <w:color w:val="000000"/>
            <w:sz w:val="22"/>
          </w:rPr>
          <w:t>641—142.5</w:t>
        </w:r>
      </w:hyperlink>
      <w:r>
        <w:rPr>
          <w:rFonts w:ascii="Times New Roman" w:hAnsi="Times New Roman"/>
          <w:b w:val="false"/>
          <w:i w:val="false"/>
          <w:color w:val="000000"/>
          <w:sz w:val="22"/>
        </w:rPr>
        <w:t>(144A).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142.4(3)</w:t>
      </w:r>
      <w:r>
        <w:rPr>
          <w:rFonts w:ascii="Times New Roman" w:hAnsi="Times New Roman"/>
          <w:b w:val="false"/>
          <w:i w:val="false"/>
          <w:color w:val="000000"/>
          <w:sz w:val="22"/>
        </w:rPr>
        <w:t> </w:t>
      </w:r>
      <w:r>
        <w:rPr>
          <w:rFonts w:ascii="Times New Roman" w:hAnsi="Times New Roman"/>
          <w:b w:val="false"/>
          <w:i/>
          <w:color w:val="000000"/>
          <w:sz w:val="22"/>
        </w:rPr>
        <w:t xml:space="preserve">Non-EMS health care providers. </w:t>
      </w:r>
      <w:r>
        <w:rPr>
          <w:rFonts w:ascii="Times New Roman" w:hAnsi="Times New Roman"/>
          <w:b w:val="false"/>
          <w:i w:val="false"/>
          <w:color w:val="000000"/>
          <w:sz w:val="22"/>
        </w:rPr>
        <w:t>A non-EMS health care provider contemplating resuscitation for a patient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the patient’s status and needs through an assessment consistent with the provider’s training, certification and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that the presenting condition is within the scope of the patient’s terminal condition and is not the result of a motor vehicle collision, fire, mass casualty or other cause of a sudden accident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existence of an OOH DNR order or that the patient is wearing an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Honor the OOH DNR order or OOH DNR identifier worn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Discontinue resuscitation if the OOH DNR order or OOH DNR identifier worn by the patient is discovered after resuscitation has begun.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comfort care to the patient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uncertainty exists regarding the validity or applicability of the OOH DNR order or identifier, the health care provider shall provide the necessary and appropriate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Document compliance or noncompliance with the OOH DNR order and the reasons for not complying with the order, including evidence that the order was revoked or uncertainty regarding the validity or applicability of the order or OOH DNR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142.4(4)</w:t>
      </w:r>
      <w:r>
        <w:rPr>
          <w:rFonts w:ascii="Times New Roman" w:hAnsi="Times New Roman"/>
          <w:b w:val="false"/>
          <w:i w:val="false"/>
          <w:color w:val="000000"/>
          <w:sz w:val="22"/>
        </w:rPr>
        <w:t> </w:t>
      </w:r>
      <w:r>
        <w:rPr>
          <w:rFonts w:ascii="Times New Roman" w:hAnsi="Times New Roman"/>
          <w:b w:val="false"/>
          <w:i/>
          <w:color w:val="000000"/>
          <w:sz w:val="22"/>
        </w:rPr>
        <w:t xml:space="preserve">Hospitals. </w:t>
      </w:r>
      <w:r>
        <w:rPr>
          <w:rFonts w:ascii="Times New Roman" w:hAnsi="Times New Roman"/>
          <w:b w:val="false"/>
          <w:i w:val="false"/>
          <w:color w:val="000000"/>
          <w:sz w:val="22"/>
        </w:rPr>
        <w:t>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not precluded from honoring an OOH DNR order entered in accordance with this chapter and in compliance with established hospital policies and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Should, to avail itself of the immunities provided within Iowa Code chapter </w:t>
      </w:r>
      <w:hyperlink r:id="rId6">
        <w:r>
          <w:rPr>
            <w:rStyle w:val="Hyperlink"/>
            <w:rFonts w:ascii="Times New Roman" w:hAnsi="Times New Roman"/>
            <w:b w:val="false"/>
            <w:i w:val="false"/>
            <w:color w:val="000000"/>
            <w:sz w:val="22"/>
          </w:rPr>
          <w:t>142</w:t>
        </w:r>
      </w:hyperlink>
      <w:r>
        <w:rPr>
          <w:rFonts w:ascii="Times New Roman" w:hAnsi="Times New Roman"/>
          <w:b w:val="false"/>
          <w:i w:val="false"/>
          <w:color w:val="000000"/>
          <w:sz w:val="22"/>
        </w:rPr>
        <w:t>, establish such policies and protocols to address an OOH DNR order or identifier encountered on a person who presents to the emergency department or in any other area within the facility if the person presents as a patient or visitor.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Should integrate policies and procedures with the OOH DNR protocol for hospital-based ambulance service programs, if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142.4(5)</w:t>
      </w:r>
      <w:r>
        <w:rPr>
          <w:rFonts w:ascii="Times New Roman" w:hAnsi="Times New Roman"/>
          <w:b w:val="false"/>
          <w:i w:val="false"/>
          <w:color w:val="000000"/>
          <w:sz w:val="22"/>
        </w:rPr>
        <w:t> </w:t>
      </w:r>
      <w:r>
        <w:rPr>
          <w:rFonts w:ascii="Times New Roman" w:hAnsi="Times New Roman"/>
          <w:b w:val="false"/>
          <w:i/>
          <w:color w:val="000000"/>
          <w:sz w:val="22"/>
        </w:rPr>
        <w:t xml:space="preserve">Other health care organizations. </w:t>
      </w:r>
      <w:r>
        <w:rPr>
          <w:rFonts w:ascii="Times New Roman" w:hAnsi="Times New Roman"/>
          <w:b w:val="false"/>
          <w:i w:val="false"/>
          <w:color w:val="000000"/>
          <w:sz w:val="22"/>
        </w:rPr>
        <w:t>A nursing home, home health care agency, hospice, or other health care organization should establish policies and protocols consistent with these rules to address admitted patients who have OOH DNR 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9081C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4A.pdf" Type="http://schemas.openxmlformats.org/officeDocument/2006/relationships/hyperlink" Id="rId4"/>
    <Relationship TargetMode="External" Target="https://www.legis.iowa.gov/docs/iac/rule/641.142.5.pdf" Type="http://schemas.openxmlformats.org/officeDocument/2006/relationships/hyperlink" Id="rId5"/>
    <Relationship TargetMode="External" Target="https://www.legis.iowa.gov/docs/ico/chapter/14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