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641—139.8</w:t>
      </w:r>
      <w:r>
        <w:rPr>
          <w:rFonts w:ascii="Times New Roman" w:hAnsi="Times New Roman"/>
          <w:b/>
          <w:i w:val="false"/>
          <w:color w:val="000000"/>
          <w:sz w:val="22"/>
        </w:rPr>
        <w:t xml:space="preserve">(147A) </w:t>
      </w:r>
      <w:r>
        <w:rPr>
          <w:rFonts w:ascii="Times New Roman" w:hAnsi="Times New Roman"/>
          <w:b/>
          <w:i w:val="false"/>
          <w:color w:val="000000"/>
          <w:sz w:val="22"/>
        </w:rPr>
        <w:t xml:space="preserve">Discipline—denial, citation and warning, probation, suspension, or revocation of training program approval or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139.8(1)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is not subject to waiver pursuant to </w:t>
      </w:r>
      <w:hyperlink r:id="rId4">
        <w:r>
          <w:rPr>
            <w:rStyle w:val="Hyperlink"/>
            <w:rFonts w:ascii="Times New Roman" w:hAnsi="Times New Roman"/>
            <w:b w:val="false"/>
            <w:i w:val="false"/>
            <w:color w:val="000000"/>
            <w:sz w:val="22"/>
          </w:rPr>
          <w:t>441—Chapter 2504</w:t>
        </w:r>
      </w:hyperlink>
      <w:r>
        <w:rPr>
          <w:rFonts w:ascii="Times New Roman" w:hAnsi="Times New Roman"/>
          <w:b w:val="false"/>
          <w:i w:val="false"/>
          <w:color w:val="000000"/>
          <w:sz w:val="22"/>
        </w:rPr>
        <w:t xml:space="preserve"> or any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139.8(2)</w:t>
      </w:r>
      <w:r>
        <w:rPr>
          <w:rFonts w:ascii="Times New Roman" w:hAnsi="Times New Roman"/>
          <w:b w:val="false"/>
          <w:i w:val="false"/>
          <w:color w:val="000000"/>
          <w:sz w:val="22"/>
        </w:rPr>
        <w:t> </w:t>
      </w:r>
      <w:r>
        <w:rPr>
          <w:rFonts w:ascii="Times New Roman" w:hAnsi="Times New Roman"/>
          <w:b w:val="false"/>
          <w:i w:val="false"/>
          <w:color w:val="000000"/>
          <w:sz w:val="22"/>
        </w:rPr>
        <w:t>Method of discipline. The department has the authority to impose the following disciplinary sanctions against a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Issue a citation and warning.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Impose a period of probation under specific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Prohibit permanently, until further order of the department, or for a specific period, a program’s ability to engage in specific procedures, methods, acts or activities incident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Suspend an authorization until further order of the department or for a specific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Deny an application for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Revoke an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Impose such other sanctions as allowed by law and as may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139.8(3)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impose any of the disciplinary sanctions provided in subrule </w:t>
      </w:r>
      <w:hyperlink r:id="rId5">
        <w:r>
          <w:rPr>
            <w:rStyle w:val="Hyperlink"/>
            <w:rFonts w:ascii="Times New Roman" w:hAnsi="Times New Roman"/>
            <w:b w:val="false"/>
            <w:i w:val="false"/>
            <w:color w:val="000000"/>
            <w:sz w:val="22"/>
          </w:rPr>
          <w:t>139.8(2)</w:t>
        </w:r>
      </w:hyperlink>
      <w:r>
        <w:rPr>
          <w:rFonts w:ascii="Times New Roman" w:hAnsi="Times New Roman"/>
          <w:b w:val="false"/>
          <w:i w:val="false"/>
          <w:color w:val="000000"/>
          <w:sz w:val="22"/>
        </w:rPr>
        <w:t xml:space="preserve"> when it finds that the training program or applicant has failed to meet the applicable provisions of these rules or has committed any of the following acts or offenses: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Fraud in procuring approval 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Falsification of training or continuing education records or failure to document training or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 or revocation of approval to provide emergency medical care training or other disciplinary action taken pursuant to Iowa Code chapter </w:t>
      </w:r>
      <w:hyperlink r:id="rId6">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 A certified copy of the record or order of suspension, revocation or disciplinary action is conclusive or prima facie evidence.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Engaging in any conduct that subverts or attempts to subvert a department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respond within 30 days of receipt of communication from the department that was sent by registered or certified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subpoena issued by the department or failure to cooperate with an investigation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terms of a department order or the terms of a settlement agreement or consent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Submission of a false report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Representing itself as an approved training program or continuing education provider when approval has been suspended or revoked or when approval has lapsed or has been placed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Using an unqualified individual as an instructor or evaluator.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Allowing verbal or physical abuse of a student or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Failing to verify registration of a student with the department within the timeline established by the department or allowing an unregistered student to function in a clinical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Sexually harassing a patient, student or coworker. Sexual harassment includes sexual advances, sexual solicitation, requests for sexual favors, and other verbal or physical conduct of a sexual nature communicated in person, in writing, via a third person or through electronic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Betrayal of a professional confidence.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Engaging in a professional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Discrimination. A training program or continuing education provider shall not practice, condone, or facilitate discrimination against a patient, student, or supervisee on the basis of race, ethnicity, national origin, color, sex, sexual orientation, age, marital status, political belief, religion, mental or physical disability, diagnosis, or social or economic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2015 Standards and Guidelines for the Accreditation of Educational Programs in the Emergency Medical Services Professions published by the Commission on Accreditation of Allied Health Education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9079C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2504.pdf" Type="http://schemas.openxmlformats.org/officeDocument/2006/relationships/hyperlink" Id="rId4"/>
    <Relationship TargetMode="External" Target="https://www.legis.iowa.gov/docs/iac/rule/641.139.8.pdf" Type="http://schemas.openxmlformats.org/officeDocument/2006/relationships/hyperlink" Id="rId5"/>
    <Relationship TargetMode="External" Target="https://www.legis.iowa.gov/docs/ico/chapter/147A.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