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641—139.3</w:t>
      </w:r>
      <w:r>
        <w:rPr>
          <w:rFonts w:ascii="Times New Roman" w:hAnsi="Times New Roman"/>
          <w:b/>
          <w:i w:val="false"/>
          <w:color w:val="000000"/>
          <w:sz w:val="22"/>
        </w:rPr>
        <w:t xml:space="preserve">(147A) </w:t>
      </w:r>
      <w:r>
        <w:rPr>
          <w:rFonts w:ascii="Times New Roman" w:hAnsi="Times New Roman"/>
          <w:b/>
          <w:i w:val="false"/>
          <w:color w:val="000000"/>
          <w:sz w:val="22"/>
        </w:rPr>
        <w:t xml:space="preserve">Training program standards, student requirements and 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139.3(1)</w:t>
      </w:r>
      <w:r>
        <w:rPr>
          <w:rFonts w:ascii="Times New Roman" w:hAnsi="Times New Roman"/>
          <w:b w:val="false"/>
          <w:i w:val="false"/>
          <w:color w:val="000000"/>
          <w:sz w:val="22"/>
        </w:rPr>
        <w:t> </w:t>
      </w:r>
      <w:r>
        <w:rPr>
          <w:rFonts w:ascii="Times New Roman" w:hAnsi="Times New Roman"/>
          <w:b w:val="false"/>
          <w:i/>
          <w:color w:val="000000"/>
          <w:sz w:val="22"/>
        </w:rPr>
        <w:t xml:space="preserve">Education standards. </w:t>
      </w:r>
      <w:r>
        <w:rPr>
          <w:rFonts w:ascii="Times New Roman" w:hAnsi="Times New Roman"/>
          <w:b w:val="false"/>
          <w:i w:val="false"/>
          <w:color w:val="000000"/>
          <w:sz w:val="22"/>
        </w:rPr>
        <w:t>A training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sponsoring institution that has received authorization from the department to conduct emergency medical care services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the U.S. Department of Transportation’s National Emergency Medical Services Education Standards (December 2021) for any courses leading to Iowa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the Iowa CCP curriculum (January 2024) for courses leading to the CCP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accredited by CAAHEP or have a letter of review from CoAEMSP if graduating students at the paramedic certification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 equivalent training and what portions of any course have been waived for equivalency. A training program may waive portions of the required emergency medical care provider training for students currently certified as emergency medical care providers or licensed in other health care professions, including but not limited to physician, nursing, physician associate, respiratory therapist, dentistry, and military.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139.3(2)</w:t>
      </w:r>
      <w:r>
        <w:rPr>
          <w:rFonts w:ascii="Times New Roman" w:hAnsi="Times New Roman"/>
          <w:b w:val="false"/>
          <w:i w:val="false"/>
          <w:color w:val="000000"/>
          <w:sz w:val="22"/>
        </w:rPr>
        <w:t> </w:t>
      </w:r>
      <w:r>
        <w:rPr>
          <w:rFonts w:ascii="Times New Roman" w:hAnsi="Times New Roman"/>
          <w:b w:val="false"/>
          <w:i/>
          <w:color w:val="000000"/>
          <w:sz w:val="22"/>
        </w:rPr>
        <w:t xml:space="preserve">Clinical or field experience resources. </w:t>
      </w:r>
      <w:r>
        <w:rPr>
          <w:rFonts w:ascii="Times New Roman" w:hAnsi="Times New Roman"/>
          <w:b w:val="false"/>
          <w:i w:val="false"/>
          <w:color w:val="000000"/>
          <w:sz w:val="22"/>
        </w:rPr>
        <w:t>Training programs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mechanism to clearly identify students in the clinical or field setting,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clinical experiences available are consistent with the needs of the curriculum and adequate for the number of students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clinical affiliations that are outside of the sponsoring training program are established and confirmed in written agreements with institutions or agencies that provide clinical experience under appropriate medical direction and clinical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Only allow students to perform skills and procedures in the clinical or field setting for which the students have received training with direct supervision by a preceptor designated and approved by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139.3(3)</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Training programs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training program director who is a health care professional (full-time educator or practitioner of emergency or critical care) assigned by the training program to direct the operation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training program medical director who shall, at a minimum, review the educational content of each training program curriculum, evaluate the quality of medical instruction, and supervise delivery of the curriculum by the faculty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qualified faculty through academic preparation, training, and experience to teach and evaluate the courses or topics to which they are assigned. At a minimum, each course coordinator, outreach course coordinator, and primary instructor utilized by the training program shall be endorsed as an Iowa EMS instructor.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139.3(4)</w:t>
      </w:r>
      <w:r>
        <w:rPr>
          <w:rFonts w:ascii="Times New Roman" w:hAnsi="Times New Roman"/>
          <w:b w:val="false"/>
          <w:i w:val="false"/>
          <w:color w:val="000000"/>
          <w:sz w:val="22"/>
        </w:rPr>
        <w:t> </w:t>
      </w:r>
      <w:r>
        <w:rPr>
          <w:rFonts w:ascii="Times New Roman" w:hAnsi="Times New Roman"/>
          <w:b w:val="false"/>
          <w:i/>
          <w:color w:val="000000"/>
          <w:sz w:val="22"/>
        </w:rPr>
        <w:t xml:space="preserve">Student eligibility. </w:t>
      </w:r>
      <w:r>
        <w:rPr>
          <w:rFonts w:ascii="Times New Roman" w:hAnsi="Times New Roman"/>
          <w:b w:val="false"/>
          <w:i w:val="false"/>
          <w:color w:val="000000"/>
          <w:sz w:val="22"/>
        </w:rPr>
        <w:t>Training programs shall ensure that emergency medical care students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17 years of age on the date of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high school diploma or its equivalent if enrolling in an AEMT or paramedic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able to speak, write and read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able to meet the minimum requirements for the department- or NREMT-approved testing requirements with reasonable and appropriate accommodations for those persons with documented disabilities, as required by the Americans with Disabilities Act (ADA)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currently certified, at a minimum, as an EMT if enrolling in an AEMT or paramedic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 current emergency medical care provider, RN, PA, or physician when applying for the EMS instructor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139.3(5)</w:t>
      </w:r>
      <w:r>
        <w:rPr>
          <w:rFonts w:ascii="Times New Roman" w:hAnsi="Times New Roman"/>
          <w:b w:val="false"/>
          <w:i w:val="false"/>
          <w:color w:val="000000"/>
          <w:sz w:val="22"/>
        </w:rPr>
        <w:t> </w:t>
      </w:r>
      <w:r>
        <w:rPr>
          <w:rFonts w:ascii="Times New Roman" w:hAnsi="Times New Roman"/>
          <w:b w:val="false"/>
          <w:i/>
          <w:color w:val="000000"/>
          <w:sz w:val="22"/>
        </w:rPr>
        <w:t xml:space="preserve">Students. </w:t>
      </w:r>
      <w:r>
        <w:rPr>
          <w:rFonts w:ascii="Times New Roman" w:hAnsi="Times New Roman"/>
          <w:b w:val="false"/>
          <w:i w:val="false"/>
          <w:color w:val="000000"/>
          <w:sz w:val="22"/>
        </w:rPr>
        <w:t>Training programs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defined processes for review of academic history, criminal history, and health-related issues for the admission of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process to evaluate students on a recurring basis and with sufficient frequency to provide both the student and training program faculty with valid and timely indicators of the student’s progress and achievement of the competencies and objectives stated within the program’s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student guidance procedures that include documentation of regular and timely discussions with qualified faculty or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 student records for each student enrolled in each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Notify the NREMT of each student’s successful completion of a training course to ensure NREMT cognitive examination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Verify that a student completes all training program requirements before being eligible to attempt the department- or NREMT-approved testing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Ensure that students only perform skills or procedures learned in the training program until an Iowa emergency medical care provider certification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Ensure that a student is not substituted for the regular personnel of any affiliated medical facility or service program but may be employed while enrolled in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139.3(6)</w:t>
      </w:r>
      <w:r>
        <w:rPr>
          <w:rFonts w:ascii="Times New Roman" w:hAnsi="Times New Roman"/>
          <w:b w:val="false"/>
          <w:i w:val="false"/>
          <w:color w:val="000000"/>
          <w:sz w:val="22"/>
        </w:rPr>
        <w:t> </w:t>
      </w:r>
      <w:r>
        <w:rPr>
          <w:rFonts w:ascii="Times New Roman" w:hAnsi="Times New Roman"/>
          <w:b w:val="false"/>
          <w:i/>
          <w:color w:val="000000"/>
          <w:sz w:val="22"/>
        </w:rPr>
        <w:t xml:space="preserve">Financing and administration. </w:t>
      </w:r>
      <w:r>
        <w:rPr>
          <w:rFonts w:ascii="Times New Roman" w:hAnsi="Times New Roman"/>
          <w:b w:val="false"/>
          <w:i w:val="false"/>
          <w:color w:val="000000"/>
          <w:sz w:val="22"/>
        </w:rPr>
        <w:t>Training programs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sufficient equipment and supplies to be used in the provision of instruction. The equipment and supplies shall be available and consistent with the needs of the curriculum and adequate for the number of students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sufficient classrooms, laboratories, and administrative offices and facility design to accommodate the number of students in the program and the supporting faculty.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of any change in ownership or control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liability insurance or offer liability insurance to enrolled students.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