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641—137.2</w:t>
      </w:r>
      <w:r>
        <w:rPr>
          <w:rFonts w:ascii="Times New Roman" w:hAnsi="Times New Roman"/>
          <w:b/>
          <w:i w:val="false"/>
          <w:color w:val="000000"/>
          <w:sz w:val="22"/>
        </w:rPr>
        <w:t xml:space="preserve">(147A) </w:t>
      </w:r>
      <w:r>
        <w:rPr>
          <w:rFonts w:ascii="Times New Roman" w:hAnsi="Times New Roman"/>
          <w:b/>
          <w:i w:val="false"/>
          <w:color w:val="000000"/>
          <w:sz w:val="22"/>
        </w:rPr>
        <w:t xml:space="preserve">Initial trauma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137.2(1)</w:t>
      </w:r>
      <w:r>
        <w:rPr>
          <w:rFonts w:ascii="Times New Roman" w:hAnsi="Times New Roman"/>
          <w:b w:val="false"/>
          <w:i w:val="false"/>
          <w:color w:val="000000"/>
          <w:sz w:val="22"/>
        </w:rPr>
        <w:t> </w:t>
      </w:r>
      <w:r>
        <w:rPr>
          <w:rFonts w:ascii="Times New Roman" w:hAnsi="Times New Roman"/>
          <w:b w:val="false"/>
          <w:i w:val="false"/>
          <w:color w:val="000000"/>
          <w:sz w:val="22"/>
        </w:rPr>
        <w:t>Trauma education is required of physicians, physician associates, advanced registered nurse practitioners, registered nurses, and licensed practical nurses who are identified or defined as trauma team members by a trauma care facility and who participate directly in the initial resuscitation of the trauma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137.2(2)</w:t>
      </w:r>
      <w:r>
        <w:rPr>
          <w:rFonts w:ascii="Times New Roman" w:hAnsi="Times New Roman"/>
          <w:b w:val="false"/>
          <w:i w:val="false"/>
          <w:color w:val="000000"/>
          <w:sz w:val="22"/>
        </w:rPr>
        <w:t> </w:t>
      </w:r>
      <w:r>
        <w:rPr>
          <w:rFonts w:ascii="Times New Roman" w:hAnsi="Times New Roman"/>
          <w:b w:val="false"/>
          <w:i w:val="false"/>
          <w:color w:val="000000"/>
          <w:sz w:val="22"/>
        </w:rPr>
        <w:t>Requirements for initial trauma education. Specific requirements for initial trauma education for each provider category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Physicians, PAs and ARNPs shall comply with education criteria specific to the level for which the trauma care facility is verified. Physicians, PAs and ARNPs at verified level I, II, and III trauma care facilities shall comply with criteria according to the “Resources for Optimal Care of Injured Patients 2022 Standards” published by the American College of Surgeons. Physicians, PAs and ARNPs at verified level IV trauma care facilities shall comply with criteria according to the “Resources for Optimal Care of the Injured Patient 2014” published by the American College of Surgeons.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RNs and LPNs shall comply with education criteria specific to the level for which the trauma care facility is verified. RNs and LPNs at verified level I, II, and III trauma care facilities shall comply with criteria according to the “Resources for Optimal Care of Injured Patients 2022 Standards” published by the American College of Surgeons. RNs and LPNs at verified level IV trauma care facilities shall comply with criteria according to the “Resources for Optimal Care of the Injured Patient 2014” published by the American College of Surgeons.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9078C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