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641—136.1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providers”</w:t>
      </w:r>
      <w:r>
        <w:rPr>
          <w:rFonts w:ascii="Times New Roman" w:hAnsi="Times New Roman"/>
          <w:b w:val="false"/>
          <w:i w:val="false"/>
          <w:color w:val="000000"/>
          <w:sz w:val="22"/>
        </w:rPr>
        <w:t> </w:t>
      </w:r>
      <w:r>
        <w:rPr>
          <w:rFonts w:ascii="Times New Roman" w:hAnsi="Times New Roman"/>
          <w:b w:val="false"/>
          <w:i w:val="false"/>
          <w:color w:val="000000"/>
          <w:sz w:val="22"/>
        </w:rPr>
        <w:t>for the purpose of this chapter includes licensed physicians, advanced registered nurse practitioners, physician associates, and registered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“Inclusion criteria”</w:t>
      </w:r>
      <w:r>
        <w:rPr>
          <w:rFonts w:ascii="Times New Roman" w:hAnsi="Times New Roman"/>
          <w:b w:val="false"/>
          <w:i w:val="false"/>
          <w:color w:val="000000"/>
          <w:sz w:val="22"/>
        </w:rPr>
        <w:t> </w:t>
      </w:r>
      <w:r>
        <w:rPr>
          <w:rFonts w:ascii="Times New Roman" w:hAnsi="Times New Roman"/>
          <w:b w:val="false"/>
          <w:i w:val="false"/>
          <w:color w:val="000000"/>
          <w:sz w:val="22"/>
        </w:rPr>
        <w:t>means criteria determined by the department and adopted by reference to determine which trauma patients are to be included in the trauma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“Reportable patient data”</w:t>
      </w:r>
      <w:r>
        <w:rPr>
          <w:rFonts w:ascii="Times New Roman" w:hAnsi="Times New Roman"/>
          <w:b w:val="false"/>
          <w:i w:val="false"/>
          <w:color w:val="000000"/>
          <w:sz w:val="22"/>
        </w:rPr>
        <w:t> </w:t>
      </w:r>
      <w:r>
        <w:rPr>
          <w:rFonts w:ascii="Times New Roman" w:hAnsi="Times New Roman"/>
          <w:b w:val="false"/>
          <w:i w:val="false"/>
          <w:color w:val="000000"/>
          <w:sz w:val="22"/>
        </w:rPr>
        <w:t>means data and definitions determined by the department to be reported to the trauma registry on trauma patients meeting the inclusion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“Trauma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147A.21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“Trauma patient”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victim of an external cause of injury that results in major or minor tissue damage or destruction caused by intentional or unintentional exposure to thermal, mechanical, electrical or chemical energy, or by the absence of heat or oxygen.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“Trauma registry”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data repository approved by the department to collect and analyze reportable patient data on the incidence, severity, and causes of trauma, and that serves as the central registry for brain and spinal cord injuries described in rule </w:t>
      </w:r>
      <w:hyperlink r:id="rId5">
        <w:r>
          <w:rPr>
            <w:rStyle w:val="Hyperlink"/>
            <w:rFonts w:ascii="Times New Roman" w:hAnsi="Times New Roman"/>
            <w:b w:val="false"/>
            <w:i w:val="false"/>
            <w:color w:val="000000"/>
            <w:sz w:val="22"/>
          </w:rPr>
          <w:t>641—21.1</w:t>
        </w:r>
      </w:hyperlink>
      <w:r>
        <w:rPr>
          <w:rFonts w:ascii="Times New Roman" w:hAnsi="Times New Roman"/>
          <w:b w:val="false"/>
          <w:i w:val="false"/>
          <w:color w:val="000000"/>
          <w:sz w:val="22"/>
        </w:rPr>
        <w:t>(135) and farm-related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“Trauma survey team”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group of health care providers contracted by the department to assist in verifying trauma care facilities’ compliance with trauma criteria adopted by reference in </w:t>
      </w:r>
      <w:hyperlink r:id="rId6">
        <w:r>
          <w:rPr>
            <w:rStyle w:val="Hyperlink"/>
            <w:rFonts w:ascii="Times New Roman" w:hAnsi="Times New Roman"/>
            <w:b w:val="false"/>
            <w:i w:val="false"/>
            <w:color w:val="000000"/>
            <w:sz w:val="22"/>
          </w:rPr>
          <w:t>641—subrule 134.2(3)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9077C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A.21.pdf" Type="http://schemas.openxmlformats.org/officeDocument/2006/relationships/hyperlink" Id="rId4"/>
    <Relationship TargetMode="External" Target="https://www.legis.iowa.gov/docs/iac/rule/641.21.1.pdf" Type="http://schemas.openxmlformats.org/officeDocument/2006/relationships/hyperlink" Id="rId5"/>
    <Relationship TargetMode="External" Target="https://www.legis.iowa.gov/docs/iac/rule/641.134.2.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