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641—134.3</w:t>
      </w:r>
      <w:r>
        <w:rPr>
          <w:rFonts w:ascii="Times New Roman" w:hAnsi="Times New Roman"/>
          <w:b/>
          <w:i w:val="false"/>
          <w:color w:val="000000"/>
          <w:sz w:val="22"/>
        </w:rPr>
        <w:t xml:space="preserve">(147A) </w:t>
      </w:r>
      <w:r>
        <w:rPr>
          <w:rFonts w:ascii="Times New Roman" w:hAnsi="Times New Roman"/>
          <w:b/>
          <w:i w:val="false"/>
          <w:color w:val="000000"/>
          <w:sz w:val="22"/>
        </w:rPr>
        <w:t xml:space="preserve">Complaints, investigations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verification as a trauma care facility or may give a citation and warning, place on probation, suspend, or revoke existing verification if the department finds reason to believe that the facility has not been operating or will not be operated in compliance with Iowa Code section </w:t>
      </w:r>
      <w:hyperlink r:id="rId4">
        <w:r>
          <w:rPr>
            <w:rStyle w:val="Hyperlink"/>
            <w:rFonts w:ascii="Times New Roman" w:hAnsi="Times New Roman"/>
            <w:b w:val="false"/>
            <w:i w:val="false"/>
            <w:color w:val="000000"/>
            <w:sz w:val="22"/>
          </w:rPr>
          <w:t>147A.23</w:t>
        </w:r>
      </w:hyperlink>
      <w:r>
        <w:rPr>
          <w:rFonts w:ascii="Times New Roman" w:hAnsi="Times New Roman"/>
          <w:b w:val="false"/>
          <w:i w:val="false"/>
          <w:color w:val="000000"/>
          <w:sz w:val="22"/>
        </w:rPr>
        <w:t xml:space="preserve"> and these administrative rules or that there is insufficient assurance of adequate protection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134.3(2)</w:t>
      </w:r>
      <w:r>
        <w:rPr>
          <w:rFonts w:ascii="Times New Roman" w:hAnsi="Times New Roman"/>
          <w:b w:val="false"/>
          <w:i w:val="false"/>
          <w:color w:val="000000"/>
          <w:sz w:val="22"/>
        </w:rPr>
        <w:t> </w:t>
      </w:r>
      <w:r>
        <w:rPr>
          <w:rFonts w:ascii="Times New Roman" w:hAnsi="Times New Roman"/>
          <w:b w:val="false"/>
          <w:i w:val="false"/>
          <w:color w:val="000000"/>
          <w:sz w:val="22"/>
        </w:rPr>
        <w:t>All complaints regarding the operation of a trauma care facility, or those purporting to be or operating as the same,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134.3(3)</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and the investigative process shall be treated as confidential to the extent that they are protected by Iowa Code section </w:t>
      </w:r>
      <w:hyperlink r:id="rId5">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134.3(4)</w:t>
      </w:r>
      <w:r>
        <w:rPr>
          <w:rFonts w:ascii="Times New Roman" w:hAnsi="Times New Roman"/>
          <w:b w:val="false"/>
          <w:i w:val="false"/>
          <w:color w:val="000000"/>
          <w:sz w:val="22"/>
        </w:rPr>
        <w:t> </w:t>
      </w:r>
      <w:r>
        <w:rPr>
          <w:rFonts w:ascii="Times New Roman" w:hAnsi="Times New Roman"/>
          <w:b w:val="false"/>
          <w:i w:val="false"/>
          <w:color w:val="000000"/>
          <w:sz w:val="22"/>
        </w:rPr>
        <w:t>Complaint investigations may result in the department’s issuance of a notice of denial, citation and warning, probation,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denial, citation and warning, probation, suspension or revocation shall be effected in accordance with the requirements of </w:t>
      </w:r>
      <w:hyperlink r:id="rId7">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xml:space="preserve"> and appealed pursuant to </w:t>
      </w:r>
      <w:hyperlink r:id="rId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134.3(6)</w:t>
      </w:r>
      <w:r>
        <w:rPr>
          <w:rFonts w:ascii="Times New Roman" w:hAnsi="Times New Roman"/>
          <w:b w:val="false"/>
          <w:i w:val="false"/>
          <w:color w:val="000000"/>
          <w:sz w:val="22"/>
        </w:rPr>
        <w:t> </w:t>
      </w:r>
      <w:r>
        <w:rPr>
          <w:rFonts w:ascii="Times New Roman" w:hAnsi="Times New Roman"/>
          <w:b w:val="false"/>
          <w:i w:val="false"/>
          <w:color w:val="000000"/>
          <w:sz w:val="22"/>
        </w:rPr>
        <w:t>Final decisions of the department relating to disciplinary proceedings may be transmitted to the appropriate professional associations, news media or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9125C</w:t>
      </w:r>
      <w:r>
        <w:rPr>
          <w:rFonts w:ascii="Times New Roman" w:hAnsi="Times New Roman"/>
          <w:b w:val="false"/>
          <w:i w:val="false"/>
          <w:color w:val="000000"/>
          <w:sz w:val="16"/>
        </w:rPr>
        <w:t>, IAB 4/16/25,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47A.23.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chapter/441.16.pdf" Type="http://schemas.openxmlformats.org/officeDocument/2006/relationships/hyperlink" Id="rId7"/>
    <Relationship TargetMode="External" Target="https://www.legis.iowa.gov/docs/iac/chapter/441.2506.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