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641—133.4</w:t>
      </w:r>
      <w:r>
        <w:rPr>
          <w:rFonts w:ascii="Times New Roman" w:hAnsi="Times New Roman"/>
          <w:b/>
          <w:i w:val="false"/>
          <w:color w:val="000000"/>
          <w:sz w:val="22"/>
        </w:rPr>
        <w:t xml:space="preserve">(321) </w:t>
      </w:r>
      <w:r>
        <w:rPr>
          <w:rFonts w:ascii="Times New Roman" w:hAnsi="Times New Roman"/>
          <w:b/>
          <w:i w:val="false"/>
          <w:color w:val="000000"/>
          <w:sz w:val="22"/>
        </w:rPr>
        <w:t xml:space="preserve">Approval, denial, probation, suspension and revocation of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133.4(1)</w:t>
      </w:r>
      <w:r>
        <w:rPr>
          <w:rFonts w:ascii="Times New Roman" w:hAnsi="Times New Roman"/>
          <w:b w:val="false"/>
          <w:i w:val="false"/>
          <w:color w:val="000000"/>
          <w:sz w:val="22"/>
        </w:rPr>
        <w:t> </w:t>
      </w:r>
      <w:r>
        <w:rPr>
          <w:rFonts w:ascii="Times New Roman" w:hAnsi="Times New Roman"/>
          <w:b w:val="false"/>
          <w:i w:val="false"/>
          <w:color w:val="000000"/>
          <w:sz w:val="22"/>
        </w:rPr>
        <w:t>The service director or the department may approve or deny an application and the department may place on probation, suspend or revoke an authorization certificate if the service director or the department finds reason to believe that the applicant or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failed to meet all applicable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moving violation while using white flashing 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utilized a white flashing light without obtaining an authorization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Does not have a valid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Does not have a current vehicle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133.4(2)</w:t>
      </w:r>
      <w:r>
        <w:rPr>
          <w:rFonts w:ascii="Times New Roman" w:hAnsi="Times New Roman"/>
          <w:b w:val="false"/>
          <w:i w:val="false"/>
          <w:color w:val="000000"/>
          <w:sz w:val="22"/>
        </w:rPr>
        <w:t> </w:t>
      </w:r>
      <w:r>
        <w:rPr>
          <w:rFonts w:ascii="Times New Roman" w:hAnsi="Times New Roman"/>
          <w:b w:val="false"/>
          <w:i w:val="false"/>
          <w:color w:val="000000"/>
          <w:sz w:val="22"/>
        </w:rPr>
        <w:t>The authorization certificate shall be surrendered upon the request of the department or its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or service director who has knowledge of any emergency medical care provider or service program that has violated Iowa Code chapter </w:t>
      </w:r>
      <w:hyperlink r:id="rId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within 30 days, report that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133.4(4)</w:t>
      </w:r>
      <w:r>
        <w:rPr>
          <w:rFonts w:ascii="Times New Roman" w:hAnsi="Times New Roman"/>
          <w:b w:val="false"/>
          <w:i w:val="false"/>
          <w:color w:val="000000"/>
          <w:sz w:val="22"/>
        </w:rPr>
        <w:t> </w:t>
      </w:r>
      <w:r>
        <w:rPr>
          <w:rFonts w:ascii="Times New Roman" w:hAnsi="Times New Roman"/>
          <w:b w:val="false"/>
          <w:i w:val="false"/>
          <w:color w:val="000000"/>
          <w:sz w:val="22"/>
        </w:rPr>
        <w:t xml:space="preserve">A denial, probation, suspension or revocation ordered by the department shall be effected in accordance with </w:t>
      </w:r>
      <w:hyperlink r:id="rId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according to the provisions set forth in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pdf" Type="http://schemas.openxmlformats.org/officeDocument/2006/relationships/hyperlink" Id="rId4"/>
    <Relationship TargetMode="External" Target="https://www.legis.iowa.gov/docs/iac/chapter/641.132.pdf" Type="http://schemas.openxmlformats.org/officeDocument/2006/relationships/hyperlink" Id="rId5"/>
    <Relationship TargetMode="External" Target="https://www.legis.iowa.gov/docs/iac/chapter/441.16.pdf" Type="http://schemas.openxmlformats.org/officeDocument/2006/relationships/hyperlink" Id="rId6"/>
    <Relationship TargetMode="External" Target="https://www.legis.iowa.gov/docs/iac/chapter/441.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