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641—131.2</w:t>
      </w:r>
      <w:r>
        <w:rPr>
          <w:rFonts w:ascii="Times New Roman" w:hAnsi="Times New Roman"/>
          <w:b/>
          <w:i w:val="false"/>
          <w:color w:val="000000"/>
          <w:sz w:val="22"/>
        </w:rPr>
        <w:t xml:space="preserve">(147A,272C) </w:t>
      </w:r>
      <w:r>
        <w:rPr>
          <w:rFonts w:ascii="Times New Roman" w:hAnsi="Times New Roman"/>
          <w:b/>
          <w:i w:val="false"/>
          <w:color w:val="000000"/>
          <w:sz w:val="22"/>
        </w:rPr>
        <w:t xml:space="preserve">Initial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val="false"/>
          <w:color w:val="000000"/>
          <w:sz w:val="22"/>
        </w:rPr>
        <w:t>An individual who has successfully completed the training program requirements at the EMR, EMT, AEMT or paramedic level and has a valid certification with NREMT shall submit the following to the department for initial Iowa emergency medical care provider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EMS certification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NREMT active certification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of the initial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Two completed fingerprint cards for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of the background check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val="false"/>
          <w:color w:val="000000"/>
          <w:sz w:val="22"/>
        </w:rPr>
        <w:t>The individual seeking an Iowa emergency medical provider care certification shall submit all application materials within two years from the Iowa training program course completion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131.2(3)</w:t>
      </w:r>
      <w:r>
        <w:rPr>
          <w:rFonts w:ascii="Times New Roman" w:hAnsi="Times New Roman"/>
          <w:b w:val="false"/>
          <w:i w:val="false"/>
          <w:color w:val="000000"/>
          <w:sz w:val="22"/>
        </w:rPr>
        <w:t> </w:t>
      </w:r>
      <w:r>
        <w:rPr>
          <w:rFonts w:ascii="Times New Roman" w:hAnsi="Times New Roman"/>
          <w:b w:val="false"/>
          <w:i w:val="false"/>
          <w:color w:val="000000"/>
          <w:sz w:val="22"/>
        </w:rPr>
        <w:t>If the individual is unable to complete the requirements within two years due to medical reasons or military obligation, an extension may be granted upon submission of a signed statement from an appropriate medical or military authority and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131.2(4)</w:t>
      </w:r>
      <w:r>
        <w:rPr>
          <w:rFonts w:ascii="Times New Roman" w:hAnsi="Times New Roman"/>
          <w:b w:val="false"/>
          <w:i w:val="false"/>
          <w:color w:val="000000"/>
          <w:sz w:val="22"/>
        </w:rPr>
        <w:t> </w:t>
      </w:r>
      <w:r>
        <w:rPr>
          <w:rFonts w:ascii="Times New Roman" w:hAnsi="Times New Roman"/>
          <w:b w:val="false"/>
          <w:i w:val="false"/>
          <w:color w:val="000000"/>
          <w:sz w:val="22"/>
        </w:rPr>
        <w:t xml:space="preserve">Fees may be waived in accordance with provisions in Iowa Code chapter </w:t>
      </w:r>
      <w:hyperlink r:id="rId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131.2(5)</w:t>
      </w:r>
      <w:r>
        <w:rPr>
          <w:rFonts w:ascii="Times New Roman" w:hAnsi="Times New Roman"/>
          <w:b w:val="false"/>
          <w:i w:val="false"/>
          <w:color w:val="000000"/>
          <w:sz w:val="22"/>
        </w:rPr>
        <w:t> </w:t>
      </w:r>
      <w:r>
        <w:rPr>
          <w:rFonts w:ascii="Times New Roman" w:hAnsi="Times New Roman"/>
          <w:b w:val="false"/>
          <w:i w:val="false"/>
          <w:color w:val="000000"/>
          <w:sz w:val="22"/>
        </w:rPr>
        <w:t>Use of criminal convictions in eligibility determinations and initial licensing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 xml:space="preserve">Unless an applicant for licensure petitions the department for an eligibility determination pursuant to paragraph </w:t>
      </w:r>
      <w:hyperlink r:id="rId5">
        <w:r>
          <w:rPr>
            <w:rStyle w:val="Hyperlink"/>
            <w:rFonts w:ascii="Times New Roman" w:hAnsi="Times New Roman"/>
            <w:b w:val="false"/>
            <w:i w:val="false"/>
            <w:color w:val="000000"/>
            <w:sz w:val="22"/>
          </w:rPr>
          <w:t>131.2(7)</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applicant’s convictions will be reviewed when the department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must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convictions shall submit the complete criminal record for each conviction and a personal statement regarding whether each conviction directly relates to the practice of the profession in order for the license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must submit as a part of the license application all evidence of rehabilitation that the applicant wishes to be considered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 license if the applicant has a disqualifying offense unless the applicant demonstrates by clear and convincing evidence that the applicant is rehabilitated pursuant to Iowa Code section </w:t>
      </w:r>
      <w:hyperlink r:id="rId6">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disqualifying offenses who has been found rehabilitated must still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application fees paid will not be refunded if the license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An individual who has not yet submitted a completed license application may petition the department for a determination of whether one or more of the individual’s convictions are disqualifying offenses that would render the individual ineligible for licensure. An individual with a conviction is not required to petition the department for an eligibility determination prior to applying for licensure. To petition the department for an eligibility determination of whether one or more of the petitioner’s convictions are disqualifying offenses,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petition for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profession and why the department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wishes to be considered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 petitioner deemed ineligible or an applicant denied a license because of a disqualifying offense may appeal the decision in accordance with </w:t>
      </w:r>
      <w:hyperlink r:id="rId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may not submit a subsequent petition for eligibility determination or a license application prior to the date specified in the final order. If a final order denies a license application, the applicant may 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pdf" Type="http://schemas.openxmlformats.org/officeDocument/2006/relationships/hyperlink" Id="rId4"/>
    <Relationship TargetMode="External" Target="https://www.legis.iowa.gov/docs/iac/rule/641.131.2.pdf" Type="http://schemas.openxmlformats.org/officeDocument/2006/relationships/hyperlink" Id="rId5"/>
    <Relationship TargetMode="External" Target="https://www.legis.iowa.gov/docs/ico/chapter/272C.15.pdf" Type="http://schemas.openxmlformats.org/officeDocument/2006/relationships/hyperlink" Id="rId6"/>
    <Relationship TargetMode="External" Target="https://www.legis.iowa.gov/docs/iac/chapter/441.250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