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641—11.1</w:t>
      </w:r>
      <w:r>
        <w:rPr>
          <w:rFonts w:ascii="Times New Roman" w:hAnsi="Times New Roman"/>
          <w:b/>
          <w:i w:val="false"/>
          <w:color w:val="000000"/>
          <w:sz w:val="22"/>
        </w:rPr>
        <w:t xml:space="preserve">(139A,141A)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“AIDS”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4">
        <w:r>
          <w:rPr>
            <w:rStyle w:val="Hyperlink"/>
            <w:rFonts w:ascii="Times New Roman" w:hAnsi="Times New Roman"/>
            <w:b w:val="false"/>
            <w:i w:val="false"/>
            <w:color w:val="000000"/>
            <w:sz w:val="22"/>
          </w:rPr>
          <w:t>141A.1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“AIDS-related condition”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5">
        <w:r>
          <w:rPr>
            <w:rStyle w:val="Hyperlink"/>
            <w:rFonts w:ascii="Times New Roman" w:hAnsi="Times New Roman"/>
            <w:b w:val="false"/>
            <w:i w:val="false"/>
            <w:color w:val="000000"/>
            <w:sz w:val="22"/>
          </w:rPr>
          <w:t>141A.1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“Alleged offender”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915.40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“Benefits and drug assistance program”</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“BDAP”</w:t>
      </w:r>
      <w:r>
        <w:rPr>
          <w:rFonts w:ascii="Times New Roman" w:hAnsi="Times New Roman"/>
          <w:b w:val="false"/>
          <w:i w:val="false"/>
          <w:color w:val="000000"/>
          <w:sz w:val="22"/>
        </w:rPr>
        <w:t> </w:t>
      </w:r>
      <w:r>
        <w:rPr>
          <w:rFonts w:ascii="Times New Roman" w:hAnsi="Times New Roman"/>
          <w:b w:val="false"/>
          <w:i w:val="false"/>
          <w:color w:val="000000"/>
          <w:sz w:val="22"/>
        </w:rPr>
        <w:t>means the Iowa benefits and drug assistance program, a component of the Ryan White program administered by the health and human services department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“Blood bank”</w:t>
      </w:r>
      <w:r>
        <w:rPr>
          <w:rFonts w:ascii="Times New Roman" w:hAnsi="Times New Roman"/>
          <w:b w:val="false"/>
          <w:i w:val="false"/>
          <w:color w:val="000000"/>
          <w:sz w:val="22"/>
        </w:rPr>
        <w:t> </w:t>
      </w:r>
      <w:r>
        <w:rPr>
          <w:rFonts w:ascii="Times New Roman" w:hAnsi="Times New Roman"/>
          <w:b w:val="false"/>
          <w:i w:val="false"/>
          <w:color w:val="000000"/>
          <w:sz w:val="22"/>
        </w:rPr>
        <w:t>means a facility for the collection, processing, or storage of human blood or blood derivatives, or from which or by means of which human blood or blood derivatives are distributed or otherwise made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“Blood-borne viral hepatitis”</w:t>
      </w:r>
      <w:r>
        <w:rPr>
          <w:rFonts w:ascii="Times New Roman" w:hAnsi="Times New Roman"/>
          <w:b w:val="false"/>
          <w:i w:val="false"/>
          <w:color w:val="000000"/>
          <w:sz w:val="22"/>
        </w:rPr>
        <w:t> </w:t>
      </w:r>
      <w:r>
        <w:rPr>
          <w:rFonts w:ascii="Times New Roman" w:hAnsi="Times New Roman"/>
          <w:b w:val="false"/>
          <w:i w:val="false"/>
          <w:color w:val="000000"/>
          <w:sz w:val="22"/>
        </w:rPr>
        <w:t>means hepatitis B or hepatitis 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“Care provider”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139A.2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“CDC”</w:t>
      </w:r>
      <w:r>
        <w:rPr>
          <w:rFonts w:ascii="Times New Roman" w:hAnsi="Times New Roman"/>
          <w:b w:val="false"/>
          <w:i w:val="false"/>
          <w:color w:val="000000"/>
          <w:sz w:val="22"/>
        </w:rPr>
        <w:t> </w:t>
      </w:r>
      <w:r>
        <w:rPr>
          <w:rFonts w:ascii="Times New Roman" w:hAnsi="Times New Roman"/>
          <w:b w:val="false"/>
          <w:i w:val="false"/>
          <w:color w:val="000000"/>
          <w:sz w:val="22"/>
        </w:rPr>
        <w:t>means the Centers for Disease Control and Prevention of the U.S.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“Certification of a significant exposure report”</w:t>
      </w:r>
      <w:r>
        <w:rPr>
          <w:rFonts w:ascii="Times New Roman" w:hAnsi="Times New Roman"/>
          <w:b w:val="false"/>
          <w:i w:val="false"/>
          <w:color w:val="000000"/>
          <w:sz w:val="22"/>
        </w:rPr>
        <w:t> </w:t>
      </w:r>
      <w:r>
        <w:rPr>
          <w:rFonts w:ascii="Times New Roman" w:hAnsi="Times New Roman"/>
          <w:b w:val="false"/>
          <w:i w:val="false"/>
          <w:color w:val="000000"/>
          <w:sz w:val="22"/>
        </w:rPr>
        <w:t>means the determination by an authorized infection preventionist, occupational health professional, or other personnel trained in infection control or infectious disease medicine and designated by a facility to review significant exposure reports that the incident described by the exposed care provider meets the definition of a significant exposure as defined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“Confirmed positive test”</w:t>
      </w:r>
      <w:r>
        <w:rPr>
          <w:rFonts w:ascii="Times New Roman" w:hAnsi="Times New Roman"/>
          <w:b w:val="false"/>
          <w:i w:val="false"/>
          <w:color w:val="000000"/>
          <w:sz w:val="22"/>
        </w:rPr>
        <w:t> </w:t>
      </w:r>
      <w:r>
        <w:rPr>
          <w:rFonts w:ascii="Times New Roman" w:hAnsi="Times New Roman"/>
          <w:b w:val="false"/>
          <w:i w:val="false"/>
          <w:color w:val="000000"/>
          <w:sz w:val="22"/>
        </w:rPr>
        <w:t>means a reactive result or detectable quantity on any HIV-related test, including an antibody test, an antigen test, a culture, a nucleic acid amplification test, or other test or combination of tests that is considered to be confirmatory according to prevailing medical technology and algorithms or guidance from CDC. When the confirmed positive test involves more than one test, all test results should be included in any reports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“Contagious or infectious disease”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hepatitis in any form, meningococcal disease as defined in these rules, AIDS or HIV as defined in Iowa Code section </w:t>
      </w:r>
      <w:hyperlink r:id="rId8">
        <w:r>
          <w:rPr>
            <w:rStyle w:val="Hyperlink"/>
            <w:rFonts w:ascii="Times New Roman" w:hAnsi="Times New Roman"/>
            <w:b w:val="false"/>
            <w:i w:val="false"/>
            <w:color w:val="000000"/>
            <w:sz w:val="22"/>
          </w:rPr>
          <w:t>141A.1</w:t>
        </w:r>
      </w:hyperlink>
      <w:r>
        <w:rPr>
          <w:rFonts w:ascii="Times New Roman" w:hAnsi="Times New Roman"/>
          <w:b w:val="false"/>
          <w:i w:val="false"/>
          <w:color w:val="000000"/>
          <w:sz w:val="22"/>
        </w:rPr>
        <w:t>, tuberculosis as defined in these rules, and any other disease determined to be life-threatening to a person exposed to the disease based upon a determination by the state epidemiologist or medical director and in accordance with guidelines of the CDC.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“Department of corrections”</w:t>
      </w:r>
      <w:r>
        <w:rPr>
          <w:rFonts w:ascii="Times New Roman" w:hAnsi="Times New Roman"/>
          <w:b w:val="false"/>
          <w:i w:val="false"/>
          <w:color w:val="000000"/>
          <w:sz w:val="22"/>
        </w:rPr>
        <w:t> </w:t>
      </w:r>
      <w:r>
        <w:rPr>
          <w:rFonts w:ascii="Times New Roman" w:hAnsi="Times New Roman"/>
          <w:b w:val="false"/>
          <w:i w:val="false"/>
          <w:color w:val="000000"/>
          <w:sz w:val="22"/>
        </w:rPr>
        <w:t>means the Iowa department of corrections.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“Designated representative”</w:t>
      </w:r>
      <w:r>
        <w:rPr>
          <w:rFonts w:ascii="Times New Roman" w:hAnsi="Times New Roman"/>
          <w:b w:val="false"/>
          <w:i w:val="false"/>
          <w:color w:val="000000"/>
          <w:sz w:val="22"/>
        </w:rPr>
        <w:t> </w:t>
      </w:r>
      <w:r>
        <w:rPr>
          <w:rFonts w:ascii="Times New Roman" w:hAnsi="Times New Roman"/>
          <w:b w:val="false"/>
          <w:i w:val="false"/>
          <w:color w:val="000000"/>
          <w:sz w:val="22"/>
        </w:rPr>
        <w:t>means a person who is designated by a department, agency, division, or service organization to act on behalf of the exposed care provider as a liaison with the facility that received the source patient when the exposure occurred in the field or during patient transport.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“Director of a plasma center, blood bank, clinical laboratory, organ procurement organization, or public health laboratory”</w:t>
      </w:r>
      <w:r>
        <w:rPr>
          <w:rFonts w:ascii="Times New Roman" w:hAnsi="Times New Roman"/>
          <w:b w:val="false"/>
          <w:i w:val="false"/>
          <w:color w:val="000000"/>
          <w:sz w:val="22"/>
        </w:rPr>
        <w:t> </w:t>
      </w:r>
      <w:r>
        <w:rPr>
          <w:rFonts w:ascii="Times New Roman" w:hAnsi="Times New Roman"/>
          <w:b w:val="false"/>
          <w:i w:val="false"/>
          <w:color w:val="000000"/>
          <w:sz w:val="22"/>
        </w:rPr>
        <w:t>means the person responsible for direction and operation of the facility, the medical director, or the person designated by the director or medical director to ensure compliance with applicable regulations and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“Emergency medical services personnel”</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“emergency medical care provider” as defined in Iowa Code section </w:t>
      </w:r>
      <w:hyperlink r:id="rId9">
        <w:r>
          <w:rPr>
            <w:rStyle w:val="Hyperlink"/>
            <w:rFonts w:ascii="Times New Roman" w:hAnsi="Times New Roman"/>
            <w:b w:val="false"/>
            <w:i w:val="false"/>
            <w:color w:val="000000"/>
            <w:sz w:val="22"/>
          </w:rPr>
          <w:t>147A.1.</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“Exposure”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0">
        <w:r>
          <w:rPr>
            <w:rStyle w:val="Hyperlink"/>
            <w:rFonts w:ascii="Times New Roman" w:hAnsi="Times New Roman"/>
            <w:b w:val="false"/>
            <w:i w:val="false"/>
            <w:color w:val="000000"/>
            <w:sz w:val="22"/>
          </w:rPr>
          <w:t>139A.2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“HBV”</w:t>
      </w:r>
      <w:r>
        <w:rPr>
          <w:rFonts w:ascii="Times New Roman" w:hAnsi="Times New Roman"/>
          <w:b w:val="false"/>
          <w:i w:val="false"/>
          <w:color w:val="000000"/>
          <w:sz w:val="22"/>
        </w:rPr>
        <w:t> </w:t>
      </w:r>
      <w:r>
        <w:rPr>
          <w:rFonts w:ascii="Times New Roman" w:hAnsi="Times New Roman"/>
          <w:b w:val="false"/>
          <w:i w:val="false"/>
          <w:color w:val="000000"/>
          <w:sz w:val="22"/>
        </w:rPr>
        <w:t>means hepatitis B virus.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“Health care facility”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1">
        <w:r>
          <w:rPr>
            <w:rStyle w:val="Hyperlink"/>
            <w:rFonts w:ascii="Times New Roman" w:hAnsi="Times New Roman"/>
            <w:b w:val="false"/>
            <w:i w:val="false"/>
            <w:color w:val="000000"/>
            <w:sz w:val="22"/>
          </w:rPr>
          <w:t>139A.2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“Health care provider”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2">
        <w:r>
          <w:rPr>
            <w:rStyle w:val="Hyperlink"/>
            <w:rFonts w:ascii="Times New Roman" w:hAnsi="Times New Roman"/>
            <w:b w:val="false"/>
            <w:i w:val="false"/>
            <w:color w:val="000000"/>
            <w:sz w:val="22"/>
          </w:rPr>
          <w:t>141A.1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“Health facility”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3">
        <w:r>
          <w:rPr>
            <w:rStyle w:val="Hyperlink"/>
            <w:rFonts w:ascii="Times New Roman" w:hAnsi="Times New Roman"/>
            <w:b w:val="false"/>
            <w:i w:val="false"/>
            <w:color w:val="000000"/>
            <w:sz w:val="22"/>
          </w:rPr>
          <w:t>141A.1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“HIV”</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4">
        <w:r>
          <w:rPr>
            <w:rStyle w:val="Hyperlink"/>
            <w:rFonts w:ascii="Times New Roman" w:hAnsi="Times New Roman"/>
            <w:b w:val="false"/>
            <w:i w:val="false"/>
            <w:color w:val="000000"/>
            <w:sz w:val="22"/>
          </w:rPr>
          <w:t>141A.1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“HIV infection”</w:t>
      </w:r>
      <w:r>
        <w:rPr>
          <w:rFonts w:ascii="Times New Roman" w:hAnsi="Times New Roman"/>
          <w:b w:val="false"/>
          <w:i w:val="false"/>
          <w:color w:val="000000"/>
          <w:sz w:val="22"/>
        </w:rPr>
        <w:t> </w:t>
      </w:r>
      <w:r>
        <w:rPr>
          <w:rFonts w:ascii="Times New Roman" w:hAnsi="Times New Roman"/>
          <w:b w:val="false"/>
          <w:i w:val="false"/>
          <w:color w:val="000000"/>
          <w:sz w:val="22"/>
        </w:rPr>
        <w:t>means having acquired the human immunodeficiency virus.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“HIV-related test”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5">
        <w:r>
          <w:rPr>
            <w:rStyle w:val="Hyperlink"/>
            <w:rFonts w:ascii="Times New Roman" w:hAnsi="Times New Roman"/>
            <w:b w:val="false"/>
            <w:i w:val="false"/>
            <w:color w:val="000000"/>
            <w:sz w:val="22"/>
          </w:rPr>
          <w:t>141A.1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“Home health services”</w:t>
      </w:r>
      <w:r>
        <w:rPr>
          <w:rFonts w:ascii="Times New Roman" w:hAnsi="Times New Roman"/>
          <w:b w:val="false"/>
          <w:i w:val="false"/>
          <w:color w:val="000000"/>
          <w:sz w:val="22"/>
        </w:rPr>
        <w:t> </w:t>
      </w:r>
      <w:r>
        <w:rPr>
          <w:rFonts w:ascii="Times New Roman" w:hAnsi="Times New Roman"/>
          <w:b w:val="false"/>
          <w:i w:val="false"/>
          <w:color w:val="000000"/>
          <w:sz w:val="22"/>
        </w:rPr>
        <w:t>means health care services provided by a care provider in a patient’s home or other residence.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“Identifiable third party”</w:t>
      </w:r>
      <w:r>
        <w:rPr>
          <w:rFonts w:ascii="Times New Roman" w:hAnsi="Times New Roman"/>
          <w:b w:val="false"/>
          <w:i w:val="false"/>
          <w:color w:val="000000"/>
          <w:sz w:val="22"/>
        </w:rPr>
        <w:t> </w:t>
      </w:r>
      <w:r>
        <w:rPr>
          <w:rFonts w:ascii="Times New Roman" w:hAnsi="Times New Roman"/>
          <w:b w:val="false"/>
          <w:i w:val="false"/>
          <w:color w:val="000000"/>
          <w:sz w:val="22"/>
        </w:rPr>
        <w:t>means a sexual partner of or a person who shares drug injecting equipment with a person who has been diagnosed with HIV infection.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“Infectious bodily fluids”</w:t>
      </w:r>
      <w:r>
        <w:rPr>
          <w:rFonts w:ascii="Times New Roman" w:hAnsi="Times New Roman"/>
          <w:b w:val="false"/>
          <w:i w:val="false"/>
          <w:color w:val="000000"/>
          <w:sz w:val="22"/>
        </w:rPr>
        <w:t> </w:t>
      </w:r>
      <w:r>
        <w:rPr>
          <w:rFonts w:ascii="Times New Roman" w:hAnsi="Times New Roman"/>
          <w:b w:val="false"/>
          <w:i w:val="false"/>
          <w:color w:val="000000"/>
          <w:sz w:val="22"/>
        </w:rPr>
        <w:t>means bodily fluids capable of transmitting HIV as listed in “Updated U.S. Public Health Service guidelines for the management of occupational exposures to HIV and recommendations for postexposure prophylaxis,” dated September 25, 2013, and updated May 23, 2018, published by the U.S. Department of Health and Human Services, Public Health Service, Centers for Disease Control, Atlanta, Georgia 30333, on its website. To prevent HIV and blood-borne viral hepatitis disease transmission, this reference indicates that standard precautions should be followed for exposure to the following infectious bodily fluids: blood, amniotic fluid, pericardial fluid, peritoneal fluid, pleural fluid, synovial fluid, cerebrospinal fluid, semen, vaginal secretions, and saliva contaminated with blood. HIV and blood-borne viral hepatitis disease transmission has not occurred from feces, nasal secretions, sputum, sweat, tears, urine, vomitus, and saliva when it is not contaminated with blood.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“Laboratory”</w:t>
      </w:r>
      <w:r>
        <w:rPr>
          <w:rFonts w:ascii="Times New Roman" w:hAnsi="Times New Roman"/>
          <w:b w:val="false"/>
          <w:i w:val="false"/>
          <w:color w:val="000000"/>
          <w:sz w:val="22"/>
        </w:rPr>
        <w:t> </w:t>
      </w:r>
      <w:r>
        <w:rPr>
          <w:rFonts w:ascii="Times New Roman" w:hAnsi="Times New Roman"/>
          <w:b w:val="false"/>
          <w:i w:val="false"/>
          <w:color w:val="000000"/>
          <w:sz w:val="22"/>
        </w:rPr>
        <w:t>means a clinical or public health laboratory, a plasma center, or a blood bank inside or outside the boundaries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“Meningococcal disease”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acute infectious bacterial meningococcal infection presenting as invasive disease characterized by one or more clinical syndromes, including bacteremia, sepsis, or meningitis. “Meningococcal disease” does not include nasopharyngeal colonization by </w:t>
      </w:r>
      <w:r>
        <w:rPr>
          <w:rFonts w:ascii="Times New Roman" w:hAnsi="Times New Roman"/>
          <w:b w:val="false"/>
          <w:i/>
          <w:color w:val="000000"/>
          <w:sz w:val="22"/>
        </w:rPr>
        <w:t>Neisseria meningitidis</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“Payer of last resort”</w:t>
      </w:r>
      <w:r>
        <w:rPr>
          <w:rFonts w:ascii="Times New Roman" w:hAnsi="Times New Roman"/>
          <w:b w:val="false"/>
          <w:i w:val="false"/>
          <w:color w:val="000000"/>
          <w:sz w:val="22"/>
        </w:rPr>
        <w:t> </w:t>
      </w:r>
      <w:r>
        <w:rPr>
          <w:rFonts w:ascii="Times New Roman" w:hAnsi="Times New Roman"/>
          <w:b w:val="false"/>
          <w:i w:val="false"/>
          <w:color w:val="000000"/>
          <w:sz w:val="22"/>
        </w:rPr>
        <w:t>means a requirement to coordinate services and seek payment from all other sources before Ryan White program funds are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“Physician”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person currently licensed pursuant to Iowa Code chapter </w:t>
      </w:r>
      <w:hyperlink r:id="rId16">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“Physician associate”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person currently licensed under Iowa Code chapter </w:t>
      </w:r>
      <w:hyperlink r:id="rId17">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“Plasma center”</w:t>
      </w:r>
      <w:r>
        <w:rPr>
          <w:rFonts w:ascii="Times New Roman" w:hAnsi="Times New Roman"/>
          <w:b w:val="false"/>
          <w:i w:val="false"/>
          <w:color w:val="000000"/>
          <w:sz w:val="22"/>
        </w:rPr>
        <w:t> </w:t>
      </w:r>
      <w:r>
        <w:rPr>
          <w:rFonts w:ascii="Times New Roman" w:hAnsi="Times New Roman"/>
          <w:b w:val="false"/>
          <w:i w:val="false"/>
          <w:color w:val="000000"/>
          <w:sz w:val="22"/>
        </w:rPr>
        <w:t>means a facility that conducts plasmapheresis.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“Plasmapheresis”</w:t>
      </w:r>
      <w:r>
        <w:rPr>
          <w:rFonts w:ascii="Times New Roman" w:hAnsi="Times New Roman"/>
          <w:b w:val="false"/>
          <w:i w:val="false"/>
          <w:color w:val="000000"/>
          <w:sz w:val="22"/>
        </w:rPr>
        <w:t> </w:t>
      </w:r>
      <w:r>
        <w:rPr>
          <w:rFonts w:ascii="Times New Roman" w:hAnsi="Times New Roman"/>
          <w:b w:val="false"/>
          <w:i w:val="false"/>
          <w:color w:val="000000"/>
          <w:sz w:val="22"/>
        </w:rPr>
        <w:t>means the removal of blood from a human being to obtain plasma with the subsequent reinfusion of the remaining formed elements into the donor but excludes such a procedure performed for the purpose of improving the health of the donor.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“Public health laboratory”</w:t>
      </w:r>
      <w:r>
        <w:rPr>
          <w:rFonts w:ascii="Times New Roman" w:hAnsi="Times New Roman"/>
          <w:b w:val="false"/>
          <w:i w:val="false"/>
          <w:color w:val="000000"/>
          <w:sz w:val="22"/>
        </w:rPr>
        <w:t> </w:t>
      </w:r>
      <w:r>
        <w:rPr>
          <w:rFonts w:ascii="Times New Roman" w:hAnsi="Times New Roman"/>
          <w:b w:val="false"/>
          <w:i w:val="false"/>
          <w:color w:val="000000"/>
          <w:sz w:val="22"/>
        </w:rPr>
        <w:t>means a laboratory operated by an agency of city, county or state government for the purpose of supporting disease control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“Respite care services”</w:t>
      </w:r>
      <w:r>
        <w:rPr>
          <w:rFonts w:ascii="Times New Roman" w:hAnsi="Times New Roman"/>
          <w:b w:val="false"/>
          <w:i w:val="false"/>
          <w:color w:val="000000"/>
          <w:sz w:val="22"/>
        </w:rPr>
        <w:t> </w:t>
      </w:r>
      <w:r>
        <w:rPr>
          <w:rFonts w:ascii="Times New Roman" w:hAnsi="Times New Roman"/>
          <w:b w:val="false"/>
          <w:i w:val="false"/>
          <w:color w:val="000000"/>
          <w:sz w:val="22"/>
        </w:rPr>
        <w:t>means health care services provided by a care provider in a patient’s home or other residence on a short-term, temporary basis as relief to those who are caring for family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“Ryan White program”</w:t>
      </w:r>
      <w:r>
        <w:rPr>
          <w:rFonts w:ascii="Times New Roman" w:hAnsi="Times New Roman"/>
          <w:b w:val="false"/>
          <w:i w:val="false"/>
          <w:color w:val="000000"/>
          <w:sz w:val="22"/>
        </w:rPr>
        <w:t> </w:t>
      </w:r>
      <w:r>
        <w:rPr>
          <w:rFonts w:ascii="Times New Roman" w:hAnsi="Times New Roman"/>
          <w:b w:val="false"/>
          <w:i w:val="false"/>
          <w:color w:val="000000"/>
          <w:sz w:val="22"/>
        </w:rPr>
        <w:t>means the Ryan White part B program administered by the department, which provides case management, behavioral health, and other supportive services, and assistance with the costs of housing, health insurance, and treatment medications for eligible low-income individuals diagnosed with HIV.</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“Sexually transmitted disease or infection”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“sexually transmitted disease or infection” as defined in rule </w:t>
      </w:r>
      <w:hyperlink r:id="rId18">
        <w:r>
          <w:rPr>
            <w:rStyle w:val="Hyperlink"/>
            <w:rFonts w:ascii="Times New Roman" w:hAnsi="Times New Roman"/>
            <w:b w:val="false"/>
            <w:i w:val="false"/>
            <w:color w:val="000000"/>
            <w:sz w:val="22"/>
          </w:rPr>
          <w:t>641—1.1</w:t>
        </w:r>
      </w:hyperlink>
      <w:r>
        <w:rPr>
          <w:rFonts w:ascii="Times New Roman" w:hAnsi="Times New Roman"/>
          <w:b w:val="false"/>
          <w:i w:val="false"/>
          <w:color w:val="000000"/>
          <w:sz w:val="22"/>
        </w:rPr>
        <w:t>(139A).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“Significant exposure”</w:t>
      </w:r>
      <w:r>
        <w:rPr>
          <w:rFonts w:ascii="Times New Roman" w:hAnsi="Times New Roman"/>
          <w:b w:val="false"/>
          <w:i w:val="false"/>
          <w:color w:val="000000"/>
          <w:sz w:val="22"/>
        </w:rPr>
        <w:t> </w:t>
      </w:r>
      <w:r>
        <w:rPr>
          <w:rFonts w:ascii="Times New Roman" w:hAnsi="Times New Roman"/>
          <w:b w:val="false"/>
          <w:i w:val="false"/>
          <w:color w:val="000000"/>
          <w:sz w:val="22"/>
        </w:rPr>
        <w:t>means a situation in which there is a risk of contracting disease through exposure to a patient’s infectious bodily fluids in a manner capable of transmitting an infectious agent as determined by CDC. Exposure includes contact with blood or other infectious bodily fluids to which standard precautions apply through percutaneous inoculation or contact with an open wound, nonintact skin, or mucous membranes during the performance of normal job duties. Significant exposures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Transmission of blood, bloody fluids, or other infectious bodily fluids of the source patient onto a mucous membrane (mouth, nose, or eyes) of the care provider.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Transmission of blood, bloody fluids, or other infectious bodily fluids of the source patient onto an open wound or lesion with significant breakdown in the skin barrier, including a needle puncture with a needle contaminated with blood, bloody fluids, or other infectious bodily fluids.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“Significant exposure report”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Report of Exposure to HIV or Other Infectious Disease form provided by the department. This is the only form authorized to be used to document a significant exposure to infectious bodily fluids such that the source patient is deemed to consent to a test to determine if the patient has a contagious or infectious disease and is deemed to consent to notification of the care provider of the results of the test pursuant to Iowa Code section </w:t>
      </w:r>
      <w:hyperlink r:id="rId19">
        <w:r>
          <w:rPr>
            <w:rStyle w:val="Hyperlink"/>
            <w:rFonts w:ascii="Times New Roman" w:hAnsi="Times New Roman"/>
            <w:b w:val="false"/>
            <w:i w:val="false"/>
            <w:color w:val="000000"/>
            <w:sz w:val="22"/>
          </w:rPr>
          <w:t>139A.19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“Tuberculosis”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infectious tuberculosis as defined in rule </w:t>
      </w:r>
      <w:hyperlink r:id="rId20">
        <w:r>
          <w:rPr>
            <w:rStyle w:val="Hyperlink"/>
            <w:rFonts w:ascii="Times New Roman" w:hAnsi="Times New Roman"/>
            <w:b w:val="false"/>
            <w:i w:val="false"/>
            <w:color w:val="000000"/>
            <w:sz w:val="22"/>
          </w:rPr>
          <w:t>641—1.1</w:t>
        </w:r>
      </w:hyperlink>
      <w:r>
        <w:rPr>
          <w:rFonts w:ascii="Times New Roman" w:hAnsi="Times New Roman"/>
          <w:b w:val="false"/>
          <w:i w:val="false"/>
          <w:color w:val="000000"/>
          <w:sz w:val="22"/>
        </w:rPr>
        <w:t>(139A).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8409C</w:t>
      </w:r>
      <w:r>
        <w:rPr>
          <w:rFonts w:ascii="Times New Roman" w:hAnsi="Times New Roman"/>
          <w:b w:val="false"/>
          <w:i w:val="false"/>
          <w:color w:val="000000"/>
          <w:sz w:val="16"/>
        </w:rPr>
        <w:t>, IAB 11/27/24, effective 1/1/25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21"/>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41A.1.pdf" Type="http://schemas.openxmlformats.org/officeDocument/2006/relationships/hyperlink" Id="rId4"/>
    <Relationship TargetMode="External" Target="https://www.legis.iowa.gov/docs/ico/chapter/141A.1.pdf" Type="http://schemas.openxmlformats.org/officeDocument/2006/relationships/hyperlink" Id="rId5"/>
    <Relationship TargetMode="External" Target="https://www.legis.iowa.gov/docs/ico/chapter/915.40.pdf" Type="http://schemas.openxmlformats.org/officeDocument/2006/relationships/hyperlink" Id="rId6"/>
    <Relationship TargetMode="External" Target="https://www.legis.iowa.gov/docs/ico/chapter/139A.2.pdf" Type="http://schemas.openxmlformats.org/officeDocument/2006/relationships/hyperlink" Id="rId7"/>
    <Relationship TargetMode="External" Target="https://www.legis.iowa.gov/docs/ico/chapter/141A.1.pdf" Type="http://schemas.openxmlformats.org/officeDocument/2006/relationships/hyperlink" Id="rId8"/>
    <Relationship TargetMode="External" Target="https://www.legis.iowa.gov/docs/ico/chapter/147A.1.pdf" Type="http://schemas.openxmlformats.org/officeDocument/2006/relationships/hyperlink" Id="rId9"/>
    <Relationship TargetMode="External" Target="https://www.legis.iowa.gov/docs/ico/chapter/139A.2.pdf" Type="http://schemas.openxmlformats.org/officeDocument/2006/relationships/hyperlink" Id="rId10"/>
    <Relationship TargetMode="External" Target="https://www.legis.iowa.gov/docs/ico/chapter/139A.2.pdf" Type="http://schemas.openxmlformats.org/officeDocument/2006/relationships/hyperlink" Id="rId11"/>
    <Relationship TargetMode="External" Target="https://www.legis.iowa.gov/docs/ico/chapter/141A.1.pdf" Type="http://schemas.openxmlformats.org/officeDocument/2006/relationships/hyperlink" Id="rId12"/>
    <Relationship TargetMode="External" Target="https://www.legis.iowa.gov/docs/ico/chapter/141A.1.pdf" Type="http://schemas.openxmlformats.org/officeDocument/2006/relationships/hyperlink" Id="rId13"/>
    <Relationship TargetMode="External" Target="https://www.legis.iowa.gov/docs/ico/chapter/141A.1.pdf" Type="http://schemas.openxmlformats.org/officeDocument/2006/relationships/hyperlink" Id="rId14"/>
    <Relationship TargetMode="External" Target="https://www.legis.iowa.gov/docs/ico/chapter/141A.1.pdf" Type="http://schemas.openxmlformats.org/officeDocument/2006/relationships/hyperlink" Id="rId15"/>
    <Relationship TargetMode="External" Target="https://www.legis.iowa.gov/docs/ico/chapter/148.pdf" Type="http://schemas.openxmlformats.org/officeDocument/2006/relationships/hyperlink" Id="rId16"/>
    <Relationship TargetMode="External" Target="https://www.legis.iowa.gov/docs/ico/chapter/148C.pdf" Type="http://schemas.openxmlformats.org/officeDocument/2006/relationships/hyperlink" Id="rId17"/>
    <Relationship TargetMode="External" Target="https://www.legis.iowa.gov/docs/iac/rule/641.1.1.pdf" Type="http://schemas.openxmlformats.org/officeDocument/2006/relationships/hyperlink" Id="rId18"/>
    <Relationship TargetMode="External" Target="https://www.legis.iowa.gov/docs/ico/chapter/139A.19.pdf" Type="http://schemas.openxmlformats.org/officeDocument/2006/relationships/hyperlink" Id="rId19"/>
    <Relationship TargetMode="External" Target="https://www.legis.iowa.gov/docs/iac/rule/641.1.1.pdf" Type="http://schemas.openxmlformats.org/officeDocument/2006/relationships/hyperlink" Id="rId20"/>
    <Relationship Target="footer.xml" Type="http://schemas.openxmlformats.org/officeDocument/2006/relationships/footer" Id="rId21"/>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