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(135,139A)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 of reportable diseases.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health care provider and a public, private, or hospital clinical laboratory will provide the department, local board, or local department with all information necessary to conduct the investigation, including but not limited to medical records; exposure histories; medical histories; contact information; and test results necessary to the investigation, including positive, pending, and negative test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Issuance of investigatory subpoenas.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may, upon the written request of a local board of health, the state public health medical director or the state public health epidemiologist or designee, subpoena records, reports, or any other evidence necessary to conduct a disease investigation. The subpoena will be signed by the department following review and approval of the written request for subpoena.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Process to challenge a subpoena. Any person who is aggrieved or adversely affected by compliance with the subpoena and who desires to challenge the subpoena shall follow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