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543—2506.1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applies to contested case proceedings conducted by the agency, including vendor appeals. However, this chapter does not apply to the extent that a claim being addressed by the agency is governed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6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