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489—1.5</w:t>
      </w:r>
      <w:r>
        <w:rPr>
          <w:rFonts w:ascii="Times New Roman" w:hAnsi="Times New Roman"/>
          <w:b/>
          <w:i w:val="false"/>
          <w:color w:val="000000"/>
          <w:sz w:val="22"/>
        </w:rPr>
        <w:t xml:space="preserve">(237) </w:t>
      </w:r>
      <w:r>
        <w:rPr>
          <w:rFonts w:ascii="Times New Roman" w:hAnsi="Times New Roman"/>
          <w:b/>
          <w:i w:val="false"/>
          <w:color w:val="000000"/>
          <w:sz w:val="22"/>
        </w:rPr>
        <w:t xml:space="preserve">Foster care review. </w:t>
      </w:r>
      <w:r>
        <w:rPr>
          <w:rFonts w:ascii="Times New Roman" w:hAnsi="Times New Roman"/>
          <w:b w:val="false"/>
          <w:i w:val="false"/>
          <w:color w:val="000000"/>
          <w:sz w:val="22"/>
        </w:rPr>
        <w:t xml:space="preserve">The state board is required by Iowa Code section </w:t>
      </w:r>
      <w:hyperlink r:id="rId4">
        <w:r>
          <w:rPr>
            <w:rStyle w:val="Hyperlink"/>
            <w:rFonts w:ascii="Times New Roman" w:hAnsi="Times New Roman"/>
            <w:b w:val="false"/>
            <w:i w:val="false"/>
            <w:color w:val="000000"/>
            <w:sz w:val="22"/>
          </w:rPr>
          <w:t>237.18</w:t>
        </w:r>
      </w:hyperlink>
      <w:r>
        <w:rPr>
          <w:rFonts w:ascii="Times New Roman" w:hAnsi="Times New Roman"/>
          <w:b w:val="false"/>
          <w:i w:val="false"/>
          <w:color w:val="000000"/>
          <w:sz w:val="22"/>
        </w:rPr>
        <w:t xml:space="preserve"> to establish procedures and protocols for completing reviews of the cases of children in foster care, including a recordkeeping system and training requirements for individuals completing reviews.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color w:val="000000"/>
          <w:sz w:val="22"/>
        </w:rPr>
        <w:t xml:space="preserve">Establishing procedures and protocols.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board is responsible for approval of policy and procedures consistent with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establishes and submits to the state board for approval policy and procedures that provide detailed guidance to individuals reviewing the cases of children in foster care on application of these rules and the statutes that govern foster care reviews.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Individuals reviewing the cases of children in foster care under the oversight of the state board are required to comply with the protocols and procedures approved by the state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Implementation of policy and procedures is the responsibility of the department.</w:t>
      </w:r>
    </w:p>
    <w:p>
      <w:pPr>
        <w:spacing w:before="0" w:after="0"/>
        <w:ind w:left="120"/>
        <w:jc w:val="both"/>
      </w:pPr>
      <w:r>
        <w:rPr>
          <w:rFonts w:ascii="Times New Roman" w:hAnsi="Times New Roman"/>
          <w:b w:val="false"/>
          <w:i w:val="false"/>
          <w:color w:val="000000"/>
          <w:sz w:val="22"/>
        </w:rPr>
        <w:t xml:space="preserve">This subrule is intended to implement Iowa Code sections </w:t>
      </w:r>
      <w:hyperlink r:id="rId5">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237.19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color w:val="000000"/>
          <w:sz w:val="22"/>
        </w:rPr>
        <w:t xml:space="preserve">Findings and recommendations. </w:t>
      </w:r>
      <w:r>
        <w:rPr>
          <w:rFonts w:ascii="Times New Roman" w:hAnsi="Times New Roman"/>
          <w:b w:val="false"/>
          <w:i w:val="false"/>
          <w:color w:val="000000"/>
          <w:sz w:val="22"/>
        </w:rPr>
        <w:t>The department will submit the findings and recommendations of foster care reviews to the state board. The report to the state board will include information regarding the permanency plan and the progress in attaining the permanency goals.</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7">
        <w:r>
          <w:rPr>
            <w:rStyle w:val="Hyperlink"/>
            <w:rFonts w:ascii="Times New Roman" w:hAnsi="Times New Roman"/>
            <w:b w:val="false"/>
            <w:i w:val="false"/>
            <w:color w:val="000000"/>
            <w:sz w:val="22"/>
          </w:rPr>
          <w:t>237.19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0344D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7.18.pdf" Type="http://schemas.openxmlformats.org/officeDocument/2006/relationships/hyperlink" Id="rId4"/>
    <Relationship TargetMode="External" Target="https://www.legis.iowa.gov/docs/ico/chapter/17A.3.pdf" Type="http://schemas.openxmlformats.org/officeDocument/2006/relationships/hyperlink" Id="rId5"/>
    <Relationship TargetMode="External" Target="https://www.legis.iowa.gov/docs/ico/chapter/237.19.pdf" Type="http://schemas.openxmlformats.org/officeDocument/2006/relationships/hyperlink" Id="rId6"/>
    <Relationship TargetMode="External" Target="https://www.legis.iowa.gov/docs/ico/chapter/237.19.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