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489—1.3</w:t>
      </w:r>
      <w:r>
        <w:rPr>
          <w:rFonts w:ascii="Times New Roman" w:hAnsi="Times New Roman"/>
          <w:b/>
          <w:i w:val="false"/>
          <w:color w:val="000000"/>
          <w:sz w:val="22"/>
        </w:rPr>
        <w:t xml:space="preserve">(237) </w:t>
      </w:r>
      <w:r>
        <w:rPr>
          <w:rFonts w:ascii="Times New Roman" w:hAnsi="Times New Roman"/>
          <w:b/>
          <w:i w:val="false"/>
          <w:color w:val="000000"/>
          <w:sz w:val="22"/>
        </w:rPr>
        <w:t xml:space="preserve">Leadership.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director ensures adequate leadership, oversight of programs, and ongoing administration of the state board’s activities and of the court appointed special advocate program. The director employs, discharges, trains, and supervises foster care review and court appointed special advocate program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 funds necessary for operations of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and procedures needed to implement requirements of federal law and regulations and state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recommend administrative rules for promulgation by the state board as needed to govern the operation of the state board,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training is provided for state board members, court appointed special advocates and coaches, and any other volunteers supporting the state board’s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relationships are developed and maintained with judges, juvenile court referees, local departments, juvenile court services, and advocacy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Coordinate efforts to ensure community awareness of the state board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closely with allied agencies and associations to ensure that efforts relating to the state board and the court appointed special advocate program are coordinated and consistent.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237.18(5)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37.1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