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481—861.1</w:t>
      </w:r>
      <w:r>
        <w:rPr>
          <w:rFonts w:ascii="Times New Roman" w:hAnsi="Times New Roman"/>
          <w:b/>
          <w:i w:val="false"/>
          <w:color w:val="000000"/>
          <w:sz w:val="22"/>
        </w:rPr>
        <w:t xml:space="preserve">(152D)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included in Iowa Code section </w:t>
      </w:r>
      <w:hyperlink r:id="rId4">
        <w:r>
          <w:rPr>
            <w:rStyle w:val="Hyperlink"/>
            <w:rFonts w:ascii="Times New Roman" w:hAnsi="Times New Roman"/>
            <w:b w:val="false"/>
            <w:i w:val="false"/>
            <w:color w:val="000000"/>
            <w:sz w:val="22"/>
          </w:rPr>
          <w:t>152D.1</w:t>
        </w:r>
      </w:hyperlink>
      <w:r>
        <w:rPr>
          <w:rFonts w:ascii="Times New Roman" w:hAnsi="Times New Roman"/>
          <w:b w:val="false"/>
          <w:i w:val="false"/>
          <w:color w:val="000000"/>
          <w:sz w:val="22"/>
        </w:rPr>
        <w:t>,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board of athletic training created under Iowa Code chapter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“BOC”</w:t>
      </w:r>
      <w:r>
        <w:rPr>
          <w:rFonts w:ascii="Times New Roman" w:hAnsi="Times New Roman"/>
          <w:b w:val="false"/>
          <w:i w:val="false"/>
          <w:color w:val="000000"/>
          <w:sz w:val="22"/>
        </w:rPr>
        <w:t> </w:t>
      </w:r>
      <w:r>
        <w:rPr>
          <w:rFonts w:ascii="Times New Roman" w:hAnsi="Times New Roman"/>
          <w:b w:val="false"/>
          <w:i w:val="false"/>
          <w:color w:val="000000"/>
          <w:sz w:val="22"/>
        </w:rPr>
        <w:t>means the Board of Certification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“Directing physician”</w:t>
      </w:r>
      <w:r>
        <w:rPr>
          <w:rFonts w:ascii="Times New Roman" w:hAnsi="Times New Roman"/>
          <w:b w:val="false"/>
          <w:i w:val="false"/>
          <w:color w:val="000000"/>
          <w:sz w:val="22"/>
        </w:rPr>
        <w:t> </w:t>
      </w:r>
      <w:r>
        <w:rPr>
          <w:rFonts w:ascii="Times New Roman" w:hAnsi="Times New Roman"/>
          <w:b w:val="false"/>
          <w:i w:val="false"/>
          <w:color w:val="000000"/>
          <w:sz w:val="22"/>
        </w:rPr>
        <w:t>means a physician who supervises the athletic training services provided by a licensed athletic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that a physician directs the performance of a licensed athletic trainer in the development, implementation, and evaluation of an athletic training service plan as set out in rule </w:t>
      </w:r>
      <w:hyperlink r:id="rId6">
        <w:r>
          <w:rPr>
            <w:rStyle w:val="Hyperlink"/>
            <w:rFonts w:ascii="Times New Roman" w:hAnsi="Times New Roman"/>
            <w:b w:val="false"/>
            <w:i w:val="false"/>
            <w:color w:val="000000"/>
            <w:sz w:val="22"/>
          </w:rPr>
          <w:t>481—861.6</w:t>
        </w:r>
      </w:hyperlink>
      <w:r>
        <w:rPr>
          <w:rFonts w:ascii="Times New Roman" w:hAnsi="Times New Roman"/>
          <w:b w:val="false"/>
          <w:i w:val="false"/>
          <w:color w:val="000000"/>
          <w:sz w:val="22"/>
        </w:rPr>
        <w:t xml:space="preserve">(152D). Direction shall not be construed as requiring the personal presence of that physician at each activity of the licensed athletic trainer. It is the responsibility of the licensed athletic trainer to ensure that the practice of athletic training is carried out only under the direction of a licensed physician.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athletic training to an applicant who is currently licensed in another state that has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an athletic trainer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 expiration date”</w:t>
      </w:r>
      <w:r>
        <w:rPr>
          <w:rFonts w:ascii="Times New Roman" w:hAnsi="Times New Roman"/>
          <w:b w:val="false"/>
          <w:i w:val="false"/>
          <w:color w:val="000000"/>
          <w:sz w:val="22"/>
        </w:rPr>
        <w:t> </w:t>
      </w:r>
      <w:r>
        <w:rPr>
          <w:rFonts w:ascii="Times New Roman" w:hAnsi="Times New Roman"/>
          <w:b w:val="false"/>
          <w:i w:val="false"/>
          <w:color w:val="000000"/>
          <w:sz w:val="22"/>
        </w:rPr>
        <w:t>means February 28 of each odd-numbered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“Mandatory reporter training”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training on identifying and reporting child abuse or dependent adult abuse as required in Iowa Code sections </w:t>
      </w:r>
      <w:hyperlink r:id="rId7">
        <w:r>
          <w:rPr>
            <w:rStyle w:val="Hyperlink"/>
            <w:rFonts w:ascii="Times New Roman" w:hAnsi="Times New Roman"/>
            <w:b w:val="false"/>
            <w:i w:val="false"/>
            <w:color w:val="000000"/>
            <w:sz w:val="22"/>
          </w:rPr>
          <w:t>323.69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reconditioning”</w:t>
      </w:r>
      <w:r>
        <w:rPr>
          <w:rFonts w:ascii="Times New Roman" w:hAnsi="Times New Roman"/>
          <w:b w:val="false"/>
          <w:i w:val="false"/>
          <w:color w:val="000000"/>
          <w:sz w:val="22"/>
        </w:rPr>
        <w:t> </w:t>
      </w:r>
      <w:r>
        <w:rPr>
          <w:rFonts w:ascii="Times New Roman" w:hAnsi="Times New Roman"/>
          <w:b w:val="false"/>
          <w:i w:val="false"/>
          <w:color w:val="000000"/>
          <w:sz w:val="22"/>
        </w:rPr>
        <w:t>means the part of the practice of athletic training that combines physical treatment, rehabilitation and exercise and is carried out under the orders of a physician or physician associate. Physical treatment is part of a service plan that includes but is not limited to the continued use of any of the following: cryotherapy, thermotherapy, hydrotherapy, electrotherapy, or the use of mechanical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to practice medicine and surgery, osteopathic medicine and surgery, osteopathy, chiropractic, or podiatry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9">
        <w:r>
          <w:rPr>
            <w:rStyle w:val="Hyperlink"/>
            <w:rFonts w:ascii="Times New Roman" w:hAnsi="Times New Roman"/>
            <w:b w:val="false"/>
            <w:i w:val="false"/>
            <w:color w:val="000000"/>
            <w:sz w:val="22"/>
          </w:rPr>
          <w:t>481—861.8</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10">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2D.1.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ac/rule/481.861.6.pdf" Type="http://schemas.openxmlformats.org/officeDocument/2006/relationships/hyperlink" Id="rId6"/>
    <Relationship TargetMode="External" Target="https://www.legis.iowa.gov/docs/ico/chapter/323.69.pdf" Type="http://schemas.openxmlformats.org/officeDocument/2006/relationships/hyperlink" Id="rId7"/>
    <Relationship TargetMode="External" Target="https://www.legis.iowa.gov/docs/ico/chapter/235B.16.pdf" Type="http://schemas.openxmlformats.org/officeDocument/2006/relationships/hyperlink" Id="rId8"/>
    <Relationship TargetMode="External" Target="https://www.legis.iowa.gov/docs/iac/rule/481.861.8.pdf" Type="http://schemas.openxmlformats.org/officeDocument/2006/relationships/hyperlink" Id="rId9"/>
    <Relationship TargetMode="External" Target="https://www.legis.iowa.gov/docs/iac/rule/481.506.31.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