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481—782.2</w:t>
      </w:r>
      <w:r>
        <w:rPr>
          <w:rFonts w:ascii="Times New Roman" w:hAnsi="Times New Roman"/>
          <w:b/>
          <w:i w:val="false"/>
          <w:color w:val="000000"/>
          <w:sz w:val="22"/>
        </w:rPr>
        <w:t xml:space="preserve">(148C)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will extend for a two-year period beginning on October 1 of each year and ending on September 30 two years later. Each biennium, each licensee will be required to complete a minimum of 100 hours of continuing education approved by the board. Licensees who complete continuing education hours in excess of the requirements for renewal may apply up to 50 percent of the required hours to the following renewal period. Licensees may apply a maximum of 50 hours from the previous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782.2(2)</w:t>
      </w:r>
      <w:r>
        <w:rPr>
          <w:rFonts w:ascii="Times New Roman" w:hAnsi="Times New Roman"/>
          <w:b w:val="false"/>
          <w:i w:val="false"/>
          <w:color w:val="000000"/>
          <w:sz w:val="22"/>
        </w:rPr>
        <w:t> </w:t>
      </w:r>
      <w:r>
        <w:rPr>
          <w:rFonts w:ascii="Times New Roman" w:hAnsi="Times New Roman"/>
          <w:b w:val="false"/>
          <w:i w:val="false"/>
          <w:color w:val="000000"/>
          <w:sz w:val="22"/>
        </w:rPr>
        <w:t>Requirements of new licensees. Those persons licensed for the first time will not be required to complete continuing education as a prerequisite for the first renewal of their licenses. The new licensee will be required to complete a minimum of 100 hours of continuing education per biennium for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782.2(3)</w:t>
      </w:r>
      <w:r>
        <w:rPr>
          <w:rFonts w:ascii="Times New Roman" w:hAnsi="Times New Roman"/>
          <w:b w:val="false"/>
          <w:i w:val="false"/>
          <w:color w:val="000000"/>
          <w:sz w:val="22"/>
        </w:rPr>
        <w:t> </w:t>
      </w:r>
      <w:r>
        <w:rPr>
          <w:rFonts w:ascii="Times New Roman" w:hAnsi="Times New Roman"/>
          <w:b w:val="false"/>
          <w:i w:val="false"/>
          <w:color w:val="000000"/>
          <w:sz w:val="22"/>
        </w:rPr>
        <w:t>A licensee whose license was reactivated during the current renewal compliance period may use continuing education earned during the compliance period for the first renewal following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8039C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9262C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