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481—781.5</w:t>
      </w:r>
      <w:r>
        <w:rPr>
          <w:rFonts w:ascii="Times New Roman" w:hAnsi="Times New Roman"/>
          <w:b/>
          <w:i w:val="false"/>
          <w:color w:val="000000"/>
          <w:sz w:val="22"/>
        </w:rPr>
        <w:t xml:space="preserve">(147) </w:t>
      </w:r>
      <w:r>
        <w:rPr>
          <w:rFonts w:ascii="Times New Roman" w:hAnsi="Times New Roman"/>
          <w:b/>
          <w:i w:val="false"/>
          <w:color w:val="000000"/>
          <w:sz w:val="22"/>
        </w:rPr>
        <w:t xml:space="preserve">Supplying—requirements for containers, labeling,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Containers. </w:t>
      </w:r>
      <w:r>
        <w:rPr>
          <w:rFonts w:ascii="Times New Roman" w:hAnsi="Times New Roman"/>
          <w:b w:val="false"/>
          <w:i w:val="false"/>
          <w:color w:val="000000"/>
          <w:sz w:val="22"/>
        </w:rPr>
        <w:t>A prescription drug will be supplied in a container that meets the requirements of the Poison Prevention Packaging Act of 1970, 15 U.S.C. §1471-1476 (1976), which relate to childproof closure, unless otherwise requested by the patient. The containers must also meet the requirements of Section 502G of the Federal Food, Drug and Cosmetic Act, 21 U.S.C. §301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(1976), which pertain to light resistance and moisture resistance needs of the drug supplied.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 label bearing the following information will be affixed to a container in which a prescription drug is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practice address of the supervising physician and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administering the prescription drug and any cautionary statement deemed appropriate by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supplying Schedule II, III, or IV controlled substances, the federal transfer warning statement must appear on the label as follows: “Caution: Federal law prohibits the transfer of this drug to any person other than the patient for whom it was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Samples. </w:t>
      </w:r>
      <w:r>
        <w:rPr>
          <w:rFonts w:ascii="Times New Roman" w:hAnsi="Times New Roman"/>
          <w:b w:val="false"/>
          <w:i w:val="false"/>
          <w:color w:val="000000"/>
          <w:sz w:val="22"/>
        </w:rPr>
        <w:t>Prescription sample drugs will be provided without additional charge to the patient. Prescription sample drugs supplied in the original container or package will be deemed to conform to labeling and packaging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A record of prescription drugs supplied by the physician associate to a patient will be kept that contains the label information required by paragraphs </w:t>
      </w:r>
      <w:r>
        <w:rPr>
          <w:rFonts w:ascii="Times New Roman" w:hAnsi="Times New Roman"/>
          <w:b w:val="false"/>
          <w:i w:val="false"/>
          <w:color w:val="000000"/>
          <w:sz w:val="22"/>
        </w:rPr>
        <w:t>781.7(2)</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through </w:t>
      </w:r>
      <w:r>
        <w:rPr>
          <w:rFonts w:ascii="Times New Roman" w:hAnsi="Times New Roman"/>
          <w:b w:val="false"/>
          <w:i/>
          <w:color w:val="000000"/>
          <w:sz w:val="22"/>
        </w:rPr>
        <w:t>“e.”</w:t>
      </w:r>
      <w:r>
        <w:rPr>
          <w:rFonts w:ascii="Times New Roman" w:hAnsi="Times New Roman"/>
          <w:b w:val="false"/>
          <w:i w:val="false"/>
          <w:color w:val="000000"/>
          <w:sz w:val="22"/>
        </w:rPr>
        <w:t xml:space="preserve"> Noting such information on the patient’s chart or record is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