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481—71.8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Required notifications to the department.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shall be notified: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Thirty days in advance of any proposed change in the subacute care facility’s functional operation or the addition or deletion of required services;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Thirty days before any addition, alteration, or new construction is begun in the subacute care facility or on the premises;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Thirty days in advance of any closure of the subacute care facility;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Within two weeks of any change in administrator;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Within 30 days of the date on which any change in the category of license is sought;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Within 30 days of any proposed change in the résumé of care for the subacute care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Prior to the purchase, transfer, assignment, or lease of a subacute care facility, the licensee shall: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Inform the department of the pending sale, transfer, assignment, or lease of the facility;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Inform the department of the name and address of the prospective purchaser, transferee, assignee, or lessee at least 30 days before the sale, transfer, assignment, or lease is completed.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71.8(3)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Within 24 hours, or the next business day, by the most expeditious means available, the department shall be notified: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Of any accident causing major injury. “Major injury” shall be defined as any injury which: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Results in death;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Requires admission to a higher level of care for treatment, other than for observation; or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Requires consultation with the attending physician, designee of the physician, physician associate, or advanced registered nurse practitioner who determines, in writing, on a form designated by the department, that an injury is a “major injury” based upon the circumstances of the accident, the previous functional ability of the resident, and the resident’s prognosis;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a resident attempts suicide, regardless of injury;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damage to the facility is caused by a natural or other disaster;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a fire occurs in a facility and the fire requires the notification of emergency services, requires full or partial evacuation of the facility, or causes physical injury to a resident;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a defect or failure occurs in the fire sprinkler system for more than 10 hours or fire alarm system for more than 4 hours in a 24-hour period. (This reporting requirement is in addition to the requirement to notify the state fire marshal or the state fire marshal’s designee.)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1740C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11/26/14, effective 12/31/14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4431C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5/8/19, effective 6/12/19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6974C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4/5/23, effective 5/10/23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