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481—71.22</w:t>
      </w:r>
      <w:r>
        <w:rPr>
          <w:rFonts w:ascii="Times New Roman" w:hAnsi="Times New Roman"/>
          <w:b/>
          <w:i w:val="false"/>
          <w:color w:val="000000"/>
          <w:sz w:val="22"/>
        </w:rPr>
        <w:t xml:space="preserve">(135G)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71.22(1)</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and psychiatric treatment, which shall include immediate notification by the person in charge to the physician, physician associate, advanced registered nurse practitioner or mental health professional of any accident, injury or adverse change in the resident’s condition. “Immediate” for purposes of this subrule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71.22(4)</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 subacute care facility is responsible for the provision and maintenance of a safe environment for residents and personnel. The subacute care facility shall meet the fire and safety rules as promulgated by the state fire marshal or the state fire marshal’s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71.22(5)</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are knowledgeable of the emergency plan. The training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71.22(6)</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A subacute care facility shall follow the smokefree air Act, Iowa Code chapter </w:t>
      </w:r>
      <w:hyperlink r:id="rId4">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2D.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