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481—71.20</w:t>
      </w:r>
      <w:r>
        <w:rPr>
          <w:rFonts w:ascii="Times New Roman" w:hAnsi="Times New Roman"/>
          <w:b/>
          <w:i w:val="false"/>
          <w:color w:val="000000"/>
          <w:sz w:val="22"/>
        </w:rPr>
        <w:t xml:space="preserve">(135G)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about each resident with all entries current, dated, and signed.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Name and previous address of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Provisional or admitting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biopsychosocial history sufficient to provide data on the resident’s relevant past history, present situation, social support system, community resource contacts, and other information relevant to appropriate treatment and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telephone number and address of the licensed mental health professional completing the biopsychosocial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to be notified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Pharmacy name, telephone number,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Written orders for treatment and medications, signed by a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change in the resident’s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Notations describing the resident’s condition on admission, transfer,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given to the resident, legal representative, or facility in the event of discharge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Individualized treatment and discharge or transfer plan pursuant to rule </w:t>
      </w:r>
      <w:hyperlink r:id="rId4">
        <w:r>
          <w:rPr>
            <w:rStyle w:val="Hyperlink"/>
            <w:rFonts w:ascii="Times New Roman" w:hAnsi="Times New Roman"/>
            <w:b w:val="false"/>
            <w:i w:val="false"/>
            <w:color w:val="000000"/>
            <w:sz w:val="22"/>
          </w:rPr>
          <w:t>481—71.14</w:t>
        </w:r>
      </w:hyperlink>
      <w:r>
        <w:rPr>
          <w:rFonts w:ascii="Times New Roman" w:hAnsi="Times New Roman"/>
          <w:b w:val="false"/>
          <w:i w:val="false"/>
          <w:color w:val="000000"/>
          <w:sz w:val="22"/>
        </w:rPr>
        <w:t>(135G);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notes, including any use of seclusion or restraint pursuant to rule </w:t>
      </w:r>
      <w:hyperlink r:id="rId5">
        <w:r>
          <w:rPr>
            <w:rStyle w:val="Hyperlink"/>
            <w:rFonts w:ascii="Times New Roman" w:hAnsi="Times New Roman"/>
            <w:b w:val="false"/>
            <w:i w:val="false"/>
            <w:color w:val="000000"/>
            <w:sz w:val="22"/>
          </w:rPr>
          <w:t>481—71.16</w:t>
        </w:r>
      </w:hyperlink>
      <w:r>
        <w:rPr>
          <w:rFonts w:ascii="Times New Roman" w:hAnsi="Times New Roman"/>
          <w:b w:val="false"/>
          <w:i w:val="false"/>
          <w:color w:val="000000"/>
          <w:sz w:val="22"/>
        </w:rPr>
        <w:t>(135G), recorded by the physician, physician associate, advanced registered nurse practitioner or mental health professional and, when appropriate, others significantly involved in active treatment modalities. Progress notes must contain a concise assessment of the resident’s progress and recommendations for revising the treatment plan as indicated by the resident’s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discharge summary, including a recapitulation of the resident’s hospitalization, recommendations for appropriate services concerning follow-up, and a brief summary of the resident’s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r>
        <w:rPr>
          <w:rFonts w:ascii="Times New Roman" w:hAnsi="Times New Roman"/>
          <w:b w:val="false"/>
          <w:i w:val="false"/>
          <w:color w:val="000000"/>
          <w:sz w:val="22"/>
        </w:rPr>
        <w:t>The facility shall have policies and procedures providing that each resident shall be assured confidential treatment of all information, including information contained in 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resident records to staff and consultants providing professional services to the resident. Information shall be made available to staff only to the extent that the information is relevant to the staff person’s responsibilities and duties. This restriction shall not preclude access by representatives of state or federal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legal guardian, shall be entitled to examine all information and shall have the right to secure full copies of the record at reasonable cost upon request, unless the physician, physician associate, advanced registered nurse practitioner or mental health professional determines the disclosure of the record or a section thereof is contraindicated, in which case the designated information will be redacted prior to making the record available to the resident. This determination and the reasons for it must be documented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subacute care facility shall maintain an incident record report and shall have available incident report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report of every unusual occurrence shall be detailed on the printed incident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unusual occurrence shall oversee the preparation of and sign the incident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and shall be available for review and a part of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in the facility for five years following termination of services to the resident, even when there is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the resident’s record shall be released to the facility to which the resident is transferred. If no transfer occurs, the record shall be released to the individual’s physician or advanced registered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1.14.pdf" Type="http://schemas.openxmlformats.org/officeDocument/2006/relationships/hyperlink" Id="rId4"/>
    <Relationship TargetMode="External" Target="https://www.legis.iowa.gov/docs/iac/rule/481.71.1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