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481—71.2</w:t>
      </w:r>
      <w:r>
        <w:rPr>
          <w:rFonts w:ascii="Times New Roman" w:hAnsi="Times New Roman"/>
          <w:b/>
          <w:i w:val="false"/>
          <w:color w:val="000000"/>
          <w:sz w:val="22"/>
        </w:rPr>
        <w:t xml:space="preserve">(135G)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4">
        <w:r>
          <w:rPr>
            <w:rStyle w:val="Hyperlink"/>
            <w:rFonts w:ascii="Times New Roman" w:hAnsi="Times New Roman"/>
            <w:b w:val="false"/>
            <w:i w:val="false"/>
            <w:color w:val="000000"/>
            <w:sz w:val="22"/>
          </w:rPr>
          <w:t>135G.1</w:t>
        </w:r>
      </w:hyperlink>
      <w:r>
        <w:rPr>
          <w:rFonts w:ascii="Times New Roman" w:hAnsi="Times New Roman"/>
          <w:b w:val="false"/>
          <w:i w:val="false"/>
          <w:color w:val="000000"/>
          <w:sz w:val="22"/>
        </w:rPr>
        <w:t xml:space="preserve"> are adopted by reference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administers, manages, supervises, and is in general administrative charge of a subacute care facility, whether or not such individual has an ownership interest in the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evaluation of a person in psychiatric crisis in order to ascertain the person’s current and previous level of functioning, psychiatric and medical history, potential for dangerousness, current psychiatric and medical condition factors contributing to the crisis and support systems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an unusual occurrence within a facility or on its premises affecting residents, visitors, or employees whether or not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support”</w:t>
      </w:r>
      <w:r>
        <w:rPr>
          <w:rFonts w:ascii="Times New Roman" w:hAnsi="Times New Roman"/>
          <w:b w:val="false"/>
          <w:i w:val="false"/>
          <w:color w:val="000000"/>
          <w:sz w:val="22"/>
        </w:rPr>
        <w:t> </w:t>
      </w:r>
      <w:r>
        <w:rPr>
          <w:rFonts w:ascii="Times New Roman" w:hAnsi="Times New Roman"/>
          <w:b w:val="false"/>
          <w:i w:val="false"/>
          <w:color w:val="000000"/>
          <w:sz w:val="22"/>
        </w:rPr>
        <w:t>means services that are provided by individuals in recovery from serious mental illness and delivered to others who also have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care”</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care to patients in a psychiatric unit of an acute care hospital; a freestanding psychiatric hospital; or a mental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w:t>
      </w:r>
      <w:r>
        <w:rPr>
          <w:rFonts w:ascii="Times New Roman" w:hAnsi="Times New Roman"/>
          <w:b w:val="false"/>
          <w:i w:val="false"/>
          <w:color w:val="000000"/>
          <w:sz w:val="22"/>
        </w:rPr>
        <w:t> </w:t>
      </w:r>
      <w:r>
        <w:rPr>
          <w:rFonts w:ascii="Times New Roman" w:hAnsi="Times New Roman"/>
          <w:b w:val="false"/>
          <w:i w:val="false"/>
          <w:color w:val="000000"/>
          <w:sz w:val="22"/>
        </w:rPr>
        <w:t>means a process of change through which individuals improve their health and wellness, live a self-directed life, and strive to reach their full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 principles”</w:t>
      </w:r>
      <w:r>
        <w:rPr>
          <w:rFonts w:ascii="Times New Roman" w:hAnsi="Times New Roman"/>
          <w:b w:val="false"/>
          <w:i w:val="false"/>
          <w:color w:val="000000"/>
          <w:sz w:val="22"/>
        </w:rPr>
        <w:t> </w:t>
      </w:r>
      <w:r>
        <w:rPr>
          <w:rFonts w:ascii="Times New Roman" w:hAnsi="Times New Roman"/>
          <w:b w:val="false"/>
          <w:i w:val="false"/>
          <w:color w:val="000000"/>
          <w:sz w:val="22"/>
        </w:rPr>
        <w:t>means the ten guiding principles of recovery outlined by the federal Substance Abuse and Mental Health Services Administration (</w:t>
      </w:r>
      <w:hyperlink r:id="rId5">
        <w:r>
          <w:rPr>
            <w:rStyle w:val="Hyperlink"/>
            <w:rFonts w:ascii="Times New Roman" w:hAnsi="Times New Roman"/>
            <w:b w:val="false"/>
            <w:i w:val="false"/>
            <w:color w:val="000000"/>
            <w:sz w:val="22"/>
            <w:u w:val="single"/>
          </w:rPr>
          <w:t>www.samhsa.gov</w:t>
        </w:r>
      </w:hyperlink>
      <w:r>
        <w:rPr>
          <w:rFonts w:ascii="Times New Roman" w:hAnsi="Times New Roman"/>
          <w:b w:val="false"/>
          <w:i w:val="false"/>
          <w:color w:val="000000"/>
          <w:sz w:val="22"/>
        </w:rPr>
        <w:t>): hope, person-driven, many pathways, holistic, peer support, relational, culture, addresses trauma, strengths/responsibility,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admission agreement required in rule </w:t>
      </w:r>
      <w:hyperlink r:id="rId6">
        <w:r>
          <w:rPr>
            <w:rStyle w:val="Hyperlink"/>
            <w:rFonts w:ascii="Times New Roman" w:hAnsi="Times New Roman"/>
            <w:b w:val="false"/>
            <w:i w:val="false"/>
            <w:color w:val="000000"/>
            <w:sz w:val="22"/>
          </w:rPr>
          <w:t>481—71.13</w:t>
        </w:r>
      </w:hyperlink>
      <w:r>
        <w:rPr>
          <w:rFonts w:ascii="Times New Roman" w:hAnsi="Times New Roman"/>
          <w:b w:val="false"/>
          <w:i w:val="false"/>
          <w:color w:val="000000"/>
          <w:sz w:val="22"/>
        </w:rPr>
        <w:t>(135G)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physical force, use of a chemical agent, or a mechanical device for the purpose of restraining the free movement of an individual’s body to protect the individual or others from immediate harm. Restraint does not include briefly holding without undue force an individual to calm or comfort the individual or holding an individual’s hand to safely escort the individual from one area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means of egress”</w:t>
      </w:r>
      <w:r>
        <w:rPr>
          <w:rFonts w:ascii="Times New Roman" w:hAnsi="Times New Roman"/>
          <w:b w:val="false"/>
          <w:i w:val="false"/>
          <w:color w:val="000000"/>
          <w:sz w:val="22"/>
        </w:rPr>
        <w:t> </w:t>
      </w:r>
      <w:r>
        <w:rPr>
          <w:rFonts w:ascii="Times New Roman" w:hAnsi="Times New Roman"/>
          <w:b w:val="false"/>
          <w:i w:val="false"/>
          <w:color w:val="000000"/>
          <w:sz w:val="22"/>
        </w:rPr>
        <w:t>means an exit door alarm system for safety of the residents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“Seclusion”</w:t>
      </w:r>
      <w:r>
        <w:rPr>
          <w:rFonts w:ascii="Times New Roman" w:hAnsi="Times New Roman"/>
          <w:b w:val="false"/>
          <w:i w:val="false"/>
          <w:color w:val="000000"/>
          <w:sz w:val="22"/>
        </w:rPr>
        <w:t> </w:t>
      </w:r>
      <w:r>
        <w:rPr>
          <w:rFonts w:ascii="Times New Roman" w:hAnsi="Times New Roman"/>
          <w:b w:val="false"/>
          <w:i w:val="false"/>
          <w:color w:val="000000"/>
          <w:sz w:val="22"/>
        </w:rPr>
        <w:t>means the involuntary confinement of a resident alone in a room or an area from which the resident is physically prevented from leaving.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G.1.pdf" Type="http://schemas.openxmlformats.org/officeDocument/2006/relationships/hyperlink" Id="rId4"/>
    <Relationship TargetMode="External" Target="http://www.samhsa.gov" Type="http://schemas.openxmlformats.org/officeDocument/2006/relationships/hyperlink" Id="rId5"/>
    <Relationship TargetMode="External" Target="https://www.legis.iowa.gov/docs/iac/rule/481.71.1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