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481—71.16</w:t>
      </w:r>
      <w:r>
        <w:rPr>
          <w:rFonts w:ascii="Times New Roman" w:hAnsi="Times New Roman"/>
          <w:b/>
          <w:i w:val="false"/>
          <w:color w:val="000000"/>
          <w:sz w:val="22"/>
        </w:rPr>
        <w:t xml:space="preserve">(135G) </w:t>
      </w:r>
      <w:r>
        <w:rPr>
          <w:rFonts w:ascii="Times New Roman" w:hAnsi="Times New Roman"/>
          <w:b/>
          <w:i w:val="false"/>
          <w:color w:val="000000"/>
          <w:sz w:val="22"/>
        </w:rPr>
        <w:t xml:space="preserve">Seclusion and restraint.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71.16(1)</w:t>
      </w:r>
      <w:r>
        <w:rPr>
          <w:rFonts w:ascii="Times New Roman" w:hAnsi="Times New Roman"/>
          <w:b w:val="false"/>
          <w:i w:val="false"/>
          <w:color w:val="000000"/>
          <w:sz w:val="22"/>
        </w:rPr>
        <w:t> </w:t>
      </w:r>
      <w:r>
        <w:rPr>
          <w:rFonts w:ascii="Times New Roman" w:hAnsi="Times New Roman"/>
          <w:b w:val="false"/>
          <w:i/>
          <w:color w:val="000000"/>
          <w:sz w:val="22"/>
        </w:rPr>
        <w:t xml:space="preserve">Use of a seclusion room. </w:t>
      </w:r>
      <w:r>
        <w:rPr>
          <w:rFonts w:ascii="Times New Roman" w:hAnsi="Times New Roman"/>
          <w:b w:val="false"/>
          <w:i w:val="false"/>
          <w:color w:val="000000"/>
          <w:sz w:val="22"/>
        </w:rPr>
        <w:t xml:space="preserve">Pursuant to Iowa Code section </w:t>
      </w:r>
      <w:hyperlink r:id="rId4">
        <w:r>
          <w:rPr>
            <w:rStyle w:val="Hyperlink"/>
            <w:rFonts w:ascii="Times New Roman" w:hAnsi="Times New Roman"/>
            <w:b w:val="false"/>
            <w:i w:val="false"/>
            <w:color w:val="000000"/>
            <w:sz w:val="22"/>
          </w:rPr>
          <w:t>135G.3(2)</w:t>
        </w:r>
      </w:hyperlink>
      <w:r>
        <w:rPr>
          <w:rFonts w:ascii="Times New Roman" w:hAnsi="Times New Roman"/>
          <w:b w:val="false"/>
          <w:i w:val="false"/>
          <w:color w:val="000000"/>
          <w:sz w:val="22"/>
        </w:rPr>
        <w:t xml:space="preserve">, a seclusion room used by a subacute care facility must meet the conditions of 42 CFR § 483.364(b).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utilizing a seclusion room shall have written policies regarding its use. The policy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types of behavior that may result in seclusion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Delineate the licensed personnel who may authorize use of the seclusion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documentation of the time in the seclusion room, the reasons for use of the seclusion room, and the reasons for any extension of time beyond one hour. Under no circumstances shall the use of the seclusion room exceed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notice to residents of the types of behavior that may result in seclusion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staff member shall always be in hearing distance of the seclusion room, and the resident shall be visually checked by the staff at least every 15 minutes. Every check shall be documented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seclusion room shall not be used for punishment, for the convenience of staff, or as a substitution for supervision. A seclusion room shall only be used when a less restrictive alternative has failed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emergency to prevent injury to the resident or to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71.16(2)</w:t>
      </w:r>
      <w:r>
        <w:rPr>
          <w:rFonts w:ascii="Times New Roman" w:hAnsi="Times New Roman"/>
          <w:b w:val="false"/>
          <w:i w:val="false"/>
          <w:color w:val="000000"/>
          <w:sz w:val="22"/>
        </w:rPr>
        <w:t> </w:t>
      </w:r>
      <w:r>
        <w:rPr>
          <w:rFonts w:ascii="Times New Roman" w:hAnsi="Times New Roman"/>
          <w:b w:val="false"/>
          <w:i/>
          <w:color w:val="000000"/>
          <w:sz w:val="22"/>
        </w:rPr>
        <w:t xml:space="preserve">Use of restraints. </w:t>
      </w:r>
      <w:r>
        <w:rPr>
          <w:rFonts w:ascii="Times New Roman" w:hAnsi="Times New Roman"/>
          <w:b w:val="false"/>
          <w:i w:val="false"/>
          <w:color w:val="000000"/>
          <w:sz w:val="22"/>
        </w:rPr>
        <w:t>There shall be written policies that define the use of restraint, designate the staff member who may authorize its use, and establish a mechanism for monitoring and controlling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Restraint shall not be used for punishment, for the convenience of staff, or as a substitution for supervision. Restraint shall only be used:</w:t>
      </w:r>
    </w:p>
    <w:p>
      <w:pPr>
        <w:spacing w:before="0" w:after="0"/>
        <w:ind w:left="120"/>
        <w:jc w:val="both"/>
      </w:pPr>
      <w:r>
        <w:rPr>
          <w:rFonts w:ascii="Times New Roman" w:hAnsi="Times New Roman"/>
          <w:b w:val="false"/>
          <w:i w:val="false"/>
          <w:color w:val="000000"/>
          <w:sz w:val="22"/>
        </w:rPr>
        <w:t>(1) In an emergency to prevent injury to the resident or to others; or</w:t>
      </w:r>
    </w:p>
    <w:p>
      <w:pPr>
        <w:spacing w:before="0" w:after="0"/>
        <w:ind w:left="120"/>
        <w:jc w:val="both"/>
      </w:pPr>
      <w:r>
        <w:rPr>
          <w:rFonts w:ascii="Times New Roman" w:hAnsi="Times New Roman"/>
          <w:b w:val="false"/>
          <w:i w:val="false"/>
          <w:color w:val="000000"/>
          <w:sz w:val="22"/>
        </w:rPr>
        <w:t>(2) For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Restraint must not result in harm or injury to the resident and must be used only to ensure the safety of the resident or others during an emergency situation until the emergency situation has ceased, even if the restraint order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restraint should be selected only when other less restrictive measures have been found to be ineffective to protect the resident or others. The staff shall demonstrate effective treatment approaches and alternatives to the use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trained in the use of emergency safety interventions must be physically present and continually assessing and monitoring the well-being of the resident and the safe use of restraint throughout the duration of the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71.16(3)</w:t>
      </w:r>
      <w:r>
        <w:rPr>
          <w:rFonts w:ascii="Times New Roman" w:hAnsi="Times New Roman"/>
          <w:b w:val="false"/>
          <w:i w:val="false"/>
          <w:color w:val="000000"/>
          <w:sz w:val="22"/>
        </w:rPr>
        <w:t> </w:t>
      </w:r>
      <w:r>
        <w:rPr>
          <w:rFonts w:ascii="Times New Roman" w:hAnsi="Times New Roman"/>
          <w:b w:val="false"/>
          <w:i/>
          <w:color w:val="000000"/>
          <w:sz w:val="22"/>
        </w:rPr>
        <w:t xml:space="preserve">Orders for restraint or seclusion. </w:t>
      </w:r>
      <w:r>
        <w:rPr>
          <w:rFonts w:ascii="Times New Roman" w:hAnsi="Times New Roman"/>
          <w:b w:val="false"/>
          <w:i w:val="false"/>
          <w:color w:val="000000"/>
          <w:sz w:val="22"/>
        </w:rPr>
        <w:t>An order for restraint or seclusion shall not be written as a standing order or on an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order for restraint or seclusion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ordering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the order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emergency safety intervention ordered, including the length of time for which restraint or seclusion is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Orders for restraint or seclusion must be by a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 orders must be received while the emergency safety intervention is being initiated by staff or immediately after the emergency safety situation ends and must be verified in writing in the resident’s record by the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the one-time order for the specific resident in an emergency safety situation has expired, it may not be renewed on a planned, anticipated, or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71.16(4)</w:t>
      </w:r>
      <w:r>
        <w:rPr>
          <w:rFonts w:ascii="Times New Roman" w:hAnsi="Times New Roman"/>
          <w:b w:val="false"/>
          <w:i w:val="false"/>
          <w:color w:val="000000"/>
          <w:sz w:val="22"/>
        </w:rPr>
        <w:t> </w:t>
      </w:r>
      <w:r>
        <w:rPr>
          <w:rFonts w:ascii="Times New Roman" w:hAnsi="Times New Roman"/>
          <w:b w:val="false"/>
          <w:i/>
          <w:color w:val="000000"/>
          <w:sz w:val="22"/>
        </w:rPr>
        <w:t xml:space="preserve">Simultaneous use prohibited. </w:t>
      </w:r>
      <w:r>
        <w:rPr>
          <w:rFonts w:ascii="Times New Roman" w:hAnsi="Times New Roman"/>
          <w:b w:val="false"/>
          <w:i w:val="false"/>
          <w:color w:val="000000"/>
          <w:sz w:val="22"/>
        </w:rPr>
        <w:t>Restraint and seclusion shall not be used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use of restraint or seclusion. </w:t>
      </w:r>
      <w:r>
        <w:rPr>
          <w:rFonts w:ascii="Times New Roman" w:hAnsi="Times New Roman"/>
          <w:b w:val="false"/>
          <w:i w:val="false"/>
          <w:color w:val="000000"/>
          <w:sz w:val="22"/>
        </w:rPr>
        <w:t>Staff must document in the resident’s record and in a centralized tracking system any use of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must be completed by the end of the shift in which the intervention occurs or during the shift in which it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order for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the emergency safety intervention began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emergency safety situation that required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staff involved in the emergency safety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interventions used and their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signature of the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71.16(6)</w:t>
      </w:r>
      <w:r>
        <w:rPr>
          <w:rFonts w:ascii="Times New Roman" w:hAnsi="Times New Roman"/>
          <w:b w:val="false"/>
          <w:i w:val="false"/>
          <w:color w:val="000000"/>
          <w:sz w:val="22"/>
        </w:rPr>
        <w:t> </w:t>
      </w:r>
      <w:r>
        <w:rPr>
          <w:rFonts w:ascii="Times New Roman" w:hAnsi="Times New Roman"/>
          <w:b w:val="false"/>
          <w:i/>
          <w:color w:val="000000"/>
          <w:sz w:val="22"/>
        </w:rPr>
        <w:t xml:space="preserve">Meeting to process restraint or seclusion. </w:t>
      </w:r>
      <w:r>
        <w:rPr>
          <w:rFonts w:ascii="Times New Roman" w:hAnsi="Times New Roman"/>
          <w:b w:val="false"/>
          <w:i w:val="false"/>
          <w:color w:val="000000"/>
          <w:sz w:val="22"/>
        </w:rPr>
        <w:t>As soon as reasonably possible after the restraint or seclusion of a resident has terminated, staff must meet to process the restraint or seclusion occurrence and document in writing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71.16(7)</w:t>
      </w:r>
      <w:r>
        <w:rPr>
          <w:rFonts w:ascii="Times New Roman" w:hAnsi="Times New Roman"/>
          <w:b w:val="false"/>
          <w:i w:val="false"/>
          <w:color w:val="000000"/>
          <w:sz w:val="22"/>
        </w:rPr>
        <w:t> </w:t>
      </w:r>
      <w:r>
        <w:rPr>
          <w:rFonts w:ascii="Times New Roman" w:hAnsi="Times New Roman"/>
          <w:b w:val="false"/>
          <w:i/>
          <w:color w:val="000000"/>
          <w:sz w:val="22"/>
        </w:rPr>
        <w:t xml:space="preserve">Multiple occasions of restraint or seclusion. </w:t>
      </w:r>
      <w:r>
        <w:rPr>
          <w:rFonts w:ascii="Times New Roman" w:hAnsi="Times New Roman"/>
          <w:b w:val="false"/>
          <w:i w:val="false"/>
          <w:color w:val="000000"/>
          <w:sz w:val="22"/>
        </w:rPr>
        <w:t>A resident who requires restraint or seclusion on multiple occasions should be considered for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71.16(8)</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facility shall provide to the staff training by qualified professionals on physical restraint and seclusion theory and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the training, including attendance,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who have documented training in physical restraint and seclusion theory and techniques shall be authorized to assist with the seclusion or physical restraint of a resident.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G.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