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481—71.13</w:t>
      </w:r>
      <w:r>
        <w:rPr>
          <w:rFonts w:ascii="Times New Roman" w:hAnsi="Times New Roman"/>
          <w:b/>
          <w:i w:val="false"/>
          <w:color w:val="000000"/>
          <w:sz w:val="22"/>
        </w:rPr>
        <w:t xml:space="preserve">(135G)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or retain a resident who is in need of greater services than the facility can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admit only as many residents as indicated by the number of beds for which the facility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subacute care facility shall adopt policies regarding the admission requirements outlined in subrule </w:t>
      </w:r>
      <w:hyperlink r:id="rId4">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individualized subacute mental health services will be determined by the standardized preadmission screening utilized by the facility. The screening shall be conducted by a mental health professional as defined in Iowa Code section </w:t>
      </w:r>
      <w:hyperlink r:id="rId5">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a physician, a physician associate, or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admitted, the individual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have had a diagnosable mental, behavioral or emotional disorder that meets the diagnostic criteria specified in the most current edition of the Diagnostic and Statistical Manual of Mental Disorders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a high degree of impairment through significantly impaired mental, social, or educational functioning arising from the psychiatric condition or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an impairment that severely limits the skills necessary to maintain an adequate level of functioning outside a treatment program and requires active treatment to obtain an adequate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a low level of stability through any two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presents moderate to high risk of danger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lacks adequate skills or social support to address mental health symptoms.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 is medically stable but requires observation and care for stabilization of a mental health condition or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Admission agreement. </w:t>
      </w:r>
      <w:r>
        <w:rPr>
          <w:rFonts w:ascii="Times New Roman" w:hAnsi="Times New Roman"/>
          <w:b w:val="false"/>
          <w:i w:val="false"/>
          <w:color w:val="000000"/>
          <w:sz w:val="22"/>
        </w:rPr>
        <w:t>A subacute care facility shall provide an admission agreement to each resident upon admission to the facility. Each admission agreement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 of services and any additional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facility’s policies regarding length of stay, discharge and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71.13(4)</w:t>
      </w:r>
      <w:r>
        <w:rPr>
          <w:rFonts w:ascii="Times New Roman" w:hAnsi="Times New Roman"/>
          <w:b w:val="false"/>
          <w:i w:val="false"/>
          <w:color w:val="000000"/>
          <w:sz w:val="22"/>
        </w:rPr>
        <w:t> </w:t>
      </w:r>
      <w:r>
        <w:rPr>
          <w:rFonts w:ascii="Times New Roman" w:hAnsi="Times New Roman"/>
          <w:b w:val="false"/>
          <w:i/>
          <w:color w:val="000000"/>
          <w:sz w:val="22"/>
        </w:rPr>
        <w:t xml:space="preserve">Exclusion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an individual into the facility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manifests behavioral or psychiatric symptoms that require acute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can be safely maintained and effectively treated with less intensive services in a community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symptoms of the individual do not meet admission criteria in subrule </w:t>
      </w:r>
      <w:hyperlink r:id="rId6">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individual’s lack of adequate place of residence, placement, or housing is not reason to receive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71.13(5)</w:t>
      </w:r>
      <w:r>
        <w:rPr>
          <w:rFonts w:ascii="Times New Roman" w:hAnsi="Times New Roman"/>
          <w:b w:val="false"/>
          <w:i w:val="false"/>
          <w:color w:val="000000"/>
          <w:sz w:val="22"/>
        </w:rPr>
        <w:t> </w:t>
      </w:r>
      <w:r>
        <w:rPr>
          <w:rFonts w:ascii="Times New Roman" w:hAnsi="Times New Roman"/>
          <w:b w:val="false"/>
          <w:i/>
          <w:color w:val="000000"/>
          <w:sz w:val="22"/>
        </w:rPr>
        <w:t xml:space="preserve">Continued stay criteria policies. </w:t>
      </w:r>
      <w:r>
        <w:rPr>
          <w:rFonts w:ascii="Times New Roman" w:hAnsi="Times New Roman"/>
          <w:b w:val="false"/>
          <w:i w:val="false"/>
          <w:color w:val="000000"/>
          <w:sz w:val="22"/>
        </w:rPr>
        <w:t>By the tenth day following admission and every ten calendar days thereafter, the mental health professional shall conduct and document an assessment of the resident and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severity of the behavioral and emotional symptoms continues to require the subacute level of intervention and the DSM diagnosis remains the principal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prescribed interventions remain consistent with the intended treatment plan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documented evidence of active, individualized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reasonable likelihood of substantial benefit in the resident’s mental health condition as a result of active intervention of the 24-hour supervised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that required admission are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less intensive level of care would be insufficient to stabilize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New issues that meet the admission guidelines in subrule </w:t>
      </w:r>
      <w:hyperlink r:id="rId7">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 xml:space="preserve"> have appeared.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resident requires further stabilization subsequent to acute care to treat active mental health symptoms such as psychosis, depression or mood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71.13(6)</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policies. </w:t>
      </w:r>
      <w:r>
        <w:rPr>
          <w:rFonts w:ascii="Times New Roman" w:hAnsi="Times New Roman"/>
          <w:b w:val="false"/>
          <w:i w:val="false"/>
          <w:color w:val="000000"/>
          <w:sz w:val="22"/>
        </w:rPr>
        <w:t>A resident may be discharged from subacute level of care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treatment plan goals and objectives for subacute services have been met and a discharge plan to outpatient or other community-based services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physical condition necessitates transfer to a more intensive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is not making progress toward treatment goals and there is no reasonable expectation of progress at the subacute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becomes a danger to self, others, or facility structure and requires an emergency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 repeatedly refuses to participate in the resident’s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71.13(7)</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give prior notification to the resident, as well as the resident’s next of kin, legal representative, attending physician or advanced registered nurse practitioner, and sponsoring agency, if any, prior to transfer or discharge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subacute care facility shall make proper arrangements for the welfare of the resident prior to transfer or discharge in the event of an emergency or inability to reach the next of kin or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make advance notification to the receiving facility prior to the transfer of any resident if the resident is to be transferred to another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made no less than 24 hours prior to transfer unless paragraph </w:t>
      </w:r>
      <w:hyperlink r:id="rId8">
        <w:r>
          <w:rPr>
            <w:rStyle w:val="Hyperlink"/>
            <w:rFonts w:ascii="Times New Roman" w:hAnsi="Times New Roman"/>
            <w:b w:val="false"/>
            <w:i w:val="false"/>
            <w:color w:val="000000"/>
            <w:sz w:val="22"/>
          </w:rPr>
          <w:t>71.13(6)</w:t>
        </w:r>
      </w:hyperlink>
      <w:r>
        <w:rPr>
          <w:rFonts w:ascii="Times New Roman" w:hAnsi="Times New Roman"/>
          <w:b w:val="false"/>
          <w:i/>
          <w:color w:val="000000"/>
          <w:sz w:val="22"/>
        </w:rPr>
        <w:t>“d”</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record as set forth in subrule </w:t>
      </w:r>
      <w:hyperlink r:id="rId9">
        <w:r>
          <w:rPr>
            <w:rStyle w:val="Hyperlink"/>
            <w:rFonts w:ascii="Times New Roman" w:hAnsi="Times New Roman"/>
            <w:b w:val="false"/>
            <w:i w:val="false"/>
            <w:color w:val="000000"/>
            <w:sz w:val="22"/>
          </w:rPr>
          <w:t>71.20(1)</w:t>
        </w:r>
      </w:hyperlink>
      <w:r>
        <w:rPr>
          <w:rFonts w:ascii="Times New Roman" w:hAnsi="Times New Roman"/>
          <w:b w:val="false"/>
          <w:i w:val="false"/>
          <w:color w:val="000000"/>
          <w:sz w:val="22"/>
        </w:rPr>
        <w:t xml:space="preserve"> shall accompany the resident when the resident is transferred or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1.13.pdf" Type="http://schemas.openxmlformats.org/officeDocument/2006/relationships/hyperlink" Id="rId4"/>
    <Relationship TargetMode="External" Target="https://www.legis.iowa.gov/docs/ico/chapter/228.1.pdf" Type="http://schemas.openxmlformats.org/officeDocument/2006/relationships/hyperlink" Id="rId5"/>
    <Relationship TargetMode="External" Target="https://www.legis.iowa.gov/docs/iac/rule/481.71.13.pdf" Type="http://schemas.openxmlformats.org/officeDocument/2006/relationships/hyperlink" Id="rId6"/>
    <Relationship TargetMode="External" Target="https://www.legis.iowa.gov/docs/iac/rule/481.71.13.pdf" Type="http://schemas.openxmlformats.org/officeDocument/2006/relationships/hyperlink" Id="rId7"/>
    <Relationship TargetMode="External" Target="https://www.legis.iowa.gov/docs/iac/rule/481.71.13.pdf" Type="http://schemas.openxmlformats.org/officeDocument/2006/relationships/hyperlink" Id="rId8"/>
    <Relationship TargetMode="External" Target="https://www.legis.iowa.gov/docs/iac/rule/481.71.1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