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481—662.2</w:t>
      </w:r>
      <w:r>
        <w:rPr>
          <w:rFonts w:ascii="Times New Roman" w:hAnsi="Times New Roman"/>
          <w:b/>
          <w:i w:val="false"/>
          <w:color w:val="000000"/>
          <w:sz w:val="22"/>
        </w:rPr>
        <w:t xml:space="preserve">(17A,147,148,272C) </w:t>
      </w:r>
      <w:r>
        <w:rPr>
          <w:rFonts w:ascii="Times New Roman" w:hAnsi="Times New Roman"/>
          <w:b/>
          <w:i w:val="false"/>
          <w:color w:val="000000"/>
          <w:sz w:val="22"/>
        </w:rPr>
        <w:t xml:space="preserve">Processing complaints and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662.2(1)</w:t>
      </w:r>
      <w:r>
        <w:rPr>
          <w:rFonts w:ascii="Times New Roman" w:hAnsi="Times New Roman"/>
          <w:b w:val="false"/>
          <w:i w:val="false"/>
          <w:color w:val="000000"/>
          <w:sz w:val="22"/>
        </w:rPr>
        <w:t> </w:t>
      </w:r>
      <w:r>
        <w:rPr>
          <w:rFonts w:ascii="Times New Roman" w:hAnsi="Times New Roman"/>
          <w:b w:val="false"/>
          <w:i/>
          <w:color w:val="000000"/>
          <w:sz w:val="22"/>
        </w:rPr>
        <w:t xml:space="preserve">Complaint and investigative files. </w:t>
      </w:r>
      <w:r>
        <w:rPr>
          <w:rFonts w:ascii="Times New Roman" w:hAnsi="Times New Roman"/>
          <w:b w:val="false"/>
          <w:i w:val="false"/>
          <w:color w:val="000000"/>
          <w:sz w:val="22"/>
        </w:rPr>
        <w:t>Board staff shall open a complaint file upon receiving a complaint or other appropriate information or upon a motion of the board. A complaint file becomes an investigative file once an investigation is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board does not have legal jurisdiction over a matter or the complaint does not allege a violation of rule or law, staff may close the complaint file administratively without investigation or review by the board. All other complaints will be sent to the complaint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complaint file will be labeled as such and is not a public record. A complaint file will become part of the licensee’s history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time an investigation is ordered, a complaint file will be relabeled as an investigative file. An investigative file is not a public record. The investigative file will become part of the licensee’s history with the board and may be shared with another licensing authority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662.2(2)</w:t>
      </w:r>
      <w:r>
        <w:rPr>
          <w:rFonts w:ascii="Times New Roman" w:hAnsi="Times New Roman"/>
          <w:b w:val="false"/>
          <w:i w:val="false"/>
          <w:color w:val="000000"/>
          <w:sz w:val="22"/>
        </w:rPr>
        <w:t> </w:t>
      </w:r>
      <w:r>
        <w:rPr>
          <w:rFonts w:ascii="Times New Roman" w:hAnsi="Times New Roman"/>
          <w:b w:val="false"/>
          <w:i/>
          <w:color w:val="000000"/>
          <w:sz w:val="22"/>
        </w:rPr>
        <w:t xml:space="preserve">Complaint review committee.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complaint review committee includes the medical advisor, executive director, general counsel for the board, and chief investigator.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complaint review committee reviews each complaint the board has received and takes one of the following four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Close a complaint file administratively for any of these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board does not have legal jurisdiction over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case involves a matter that the board is already addressing;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case is appropriate for referral to the board’s Iowa physician health program, and investigation is not warranted.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Recommend to the board’s screening committee that the board close the complaint file without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Request a letter of explanation from the physician, medical records,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Request a full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complaint review committee uses the following to guide its decision making: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Serious public safety issues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clear violation of the laws and rules governing the practice of medicine, genetic counseling, or acupuncture,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Significant investigative history that raises serious concerns about the licensee’s ability to practice in a competent and safe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Significant investigative history that raises serious concerns that the licensee has engaged in a pattern of unprofessional conduct or disruptive behavior that interferes with, or has the potential to interfere with, patient care or the effective functioning of health care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Serious quality of care cases that include severe patient harm, a pattern of inappropriate treatment, or serious medical errors;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Serious criminal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Substance abuse or other impairment that significantly impacts the licensee’s ability to practice the licensee’s respective practice in a competent and safe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Sexual misconduct;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Severe unprofessional conduct or disruptive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Disciplinary action by another regulatory authority;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Unlicensed practice of medicine, genetic counseling, or acupuncture.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Less serious public safety issues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Less serious quality of care cases that do not involve serious patient harm and are isolated occurrences rather than a part of a pattern of inappropriate treatment or serious medical errors;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single incident involving a billing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single incident involving rude behavior or personality conflicts;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single incident of communication problems;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Poor recordkeeping practices that are not repeated or ongoing in nature and do not significantly affect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board may at any time reopen for review and reconsideration any complaint or investigative file that has been closed administratively.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complaint review committee will indicate high-priority cases when they are assigned for investigation. The committee may provide recommendations to investigators regarding the nature of investigation to be completed. The medical advisor will provide medical advice to the investigators as part of the investigative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662.2(3)</w:t>
      </w:r>
      <w:r>
        <w:rPr>
          <w:rFonts w:ascii="Times New Roman" w:hAnsi="Times New Roman"/>
          <w:b w:val="false"/>
          <w:i w:val="false"/>
          <w:color w:val="000000"/>
          <w:sz w:val="22"/>
        </w:rPr>
        <w:t> </w:t>
      </w:r>
      <w:r>
        <w:rPr>
          <w:rFonts w:ascii="Times New Roman" w:hAnsi="Times New Roman"/>
          <w:b w:val="false"/>
          <w:i/>
          <w:color w:val="000000"/>
          <w:sz w:val="22"/>
        </w:rPr>
        <w:t xml:space="preserve">Screening committee. </w:t>
      </w:r>
      <w:r>
        <w:rPr>
          <w:rFonts w:ascii="Times New Roman" w:hAnsi="Times New Roman"/>
          <w:b w:val="false"/>
          <w:i w:val="false"/>
          <w:color w:val="000000"/>
          <w:sz w:val="22"/>
        </w:rPr>
        <w:t>The screening committee will review the recommendations of the complaint review committee and take one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Recommend to the board that the complaint file be closed without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 a letter of explanation from the physician, medical records,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Review the materials acquired pursuant to paragraph </w:t>
      </w:r>
      <w:hyperlink r:id="rId4">
        <w:r>
          <w:rPr>
            <w:rStyle w:val="Hyperlink"/>
            <w:rFonts w:ascii="Times New Roman" w:hAnsi="Times New Roman"/>
            <w:b w:val="false"/>
            <w:i w:val="false"/>
            <w:color w:val="000000"/>
            <w:sz w:val="22"/>
          </w:rPr>
          <w:t>662.2(3)</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recommend to the board that the investigative file be closed, with or without issuing an informal 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Request an investigation for board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662.2(4)</w:t>
      </w:r>
      <w:r>
        <w:rPr>
          <w:rFonts w:ascii="Times New Roman" w:hAnsi="Times New Roman"/>
          <w:b w:val="false"/>
          <w:i w:val="false"/>
          <w:color w:val="000000"/>
          <w:sz w:val="22"/>
        </w:rPr>
        <w:t> </w:t>
      </w:r>
      <w:r>
        <w:rPr>
          <w:rFonts w:ascii="Times New Roman" w:hAnsi="Times New Roman"/>
          <w:b w:val="false"/>
          <w:i/>
          <w:color w:val="000000"/>
          <w:sz w:val="22"/>
        </w:rPr>
        <w:t xml:space="preserve">Board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will review the screening committee’s recommendations and take one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Close the complaint file without investigation. The board will notify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Close the investigative file that has been partially or fully investigated, with or without issuing an informal letter. The board will notify the complainant and the licensee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Request further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may reconsider and reopen a closed complaint or investigative file at a later date should it be deemed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662.2(5)</w:t>
      </w:r>
      <w:r>
        <w:rPr>
          <w:rFonts w:ascii="Times New Roman" w:hAnsi="Times New Roman"/>
          <w:b w:val="false"/>
          <w:i w:val="false"/>
          <w:color w:val="000000"/>
          <w:sz w:val="22"/>
        </w:rPr>
        <w:t> </w:t>
      </w:r>
      <w:r>
        <w:rPr>
          <w:rFonts w:ascii="Times New Roman" w:hAnsi="Times New Roman"/>
          <w:b w:val="false"/>
          <w:i/>
          <w:color w:val="000000"/>
          <w:sz w:val="22"/>
        </w:rPr>
        <w:t xml:space="preserve">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Complainants. </w:t>
      </w:r>
      <w:r>
        <w:rPr>
          <w:rFonts w:ascii="Times New Roman" w:hAnsi="Times New Roman"/>
          <w:b w:val="false"/>
          <w:i w:val="false"/>
          <w:color w:val="000000"/>
          <w:sz w:val="22"/>
        </w:rPr>
        <w:t>At the time an investigation is opened, the complainant will be sent a letter with the name of the investigator assigned to the case and the investigator’s contact information and a statement encouraging the complainant to submit any further information that would assist the investigator with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complainant may request a meeting with the investigator prior to the completion of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complainant will be informed of the confidentiality of the investigative information as provided in subrule </w:t>
      </w:r>
      <w:hyperlink r:id="rId5">
        <w:r>
          <w:rPr>
            <w:rStyle w:val="Hyperlink"/>
            <w:rFonts w:ascii="Times New Roman" w:hAnsi="Times New Roman"/>
            <w:b w:val="false"/>
            <w:i w:val="false"/>
            <w:color w:val="000000"/>
            <w:sz w:val="22"/>
          </w:rPr>
          <w:t>662.2(8)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complainant may contact the chief investigator with questions or concerns about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Investigative subpoenas.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Issuance of an investigative subpoena. The executive director or a designee may, upon the written request of a board investigator or upon the executive director’s own initiative, subpoena books, papers, records, and other real evidence necessary for a board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for subpoena. A written request for a subpoena will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will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specific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explanation of why the evidence sought to be subpoenaed is necessary for the board to determine whether it should institute a contested case proceeding;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subpoena request for mental health records, confirmation that the conditions described in subparagraph </w:t>
      </w:r>
      <w:hyperlink r:id="rId6">
        <w:r>
          <w:rPr>
            <w:rStyle w:val="Hyperlink"/>
            <w:rFonts w:ascii="Times New Roman" w:hAnsi="Times New Roman"/>
            <w:b w:val="false"/>
            <w:i w:val="false"/>
            <w:color w:val="000000"/>
            <w:sz w:val="22"/>
          </w:rPr>
          <w:t>662.2(5)</w:t>
        </w:r>
      </w:hyperlink>
      <w:r>
        <w:rPr>
          <w:rFonts w:ascii="Times New Roman" w:hAnsi="Times New Roman"/>
          <w:b w:val="false"/>
          <w:i/>
          <w:color w:val="000000"/>
          <w:sz w:val="22"/>
        </w:rPr>
        <w:t>“b”</w:t>
      </w:r>
      <w:r>
        <w:rPr>
          <w:rFonts w:ascii="Times New Roman" w:hAnsi="Times New Roman"/>
          <w:b w:val="false"/>
          <w:i w:val="false"/>
          <w:color w:val="000000"/>
          <w:sz w:val="22"/>
        </w:rPr>
        <w:t>(4)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Contents of subpoena. Each subpoena will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motion to quash or modify the subpoena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executive director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date of issuance;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return of service attached to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Subpoena for mental health records. A subpoena for mental health records shall meet the requirements of subparagraph </w:t>
      </w:r>
      <w:hyperlink r:id="rId7">
        <w:r>
          <w:rPr>
            <w:rStyle w:val="Hyperlink"/>
            <w:rFonts w:ascii="Times New Roman" w:hAnsi="Times New Roman"/>
            <w:b w:val="false"/>
            <w:i w:val="false"/>
            <w:color w:val="000000"/>
            <w:sz w:val="22"/>
          </w:rPr>
          <w:t>662.2(5)</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The board shall document the following prior to the issuance of a subpoena for mental health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nature of the complaint reasonably justifies the issuance of a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Adequate safeguards have been established to prevent unauthorized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express statutory mandate, articulated public policy, or other recognizable public interest favors access;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attempt was made to notify the patient and to secure an authorization from the patient for release of the records at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Motion to quash or modify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person who is adversely affected by compliance with the subpoena and desires to challenge the subpoena must file with the board a motion to quash or modify the subpoena within 14 days of service, or before if the time specified is less than 14 days. The motion shall describe the legal reasons why the subpoena should be quashed or modified and may be accompanied by legal briefs or factual affidavits.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Hearing on motion. Upon receipt of a timely motion to quash or modify a subpoena, the board may request an administrative law judge to hold a hearing and issue a decision, or the board may conduct a hearing and issue a decision. Oral argument may be scheduled at the discretion of the administrative law judge or the board. The administrative law judge or the board may quash or modify the subpoena, deny the motion, or issue an appropriate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Appeal of decision on motion. A person who is aggrieved by a ruling of an administrative law judge and who desires to challenge that ruling must appeal the ruling to the board by serving on the board’s executive director, either in person or by certified mail, a notice of appeal within ten days after service of the decision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Final agency action. If the person contesting the subpoena is not the person under investigation, the board’s decision is final for purposes of judicial review. If the person contesting the subpoena is the person under investigation, the board’s decision is not final for purposes of judicial review until either the person is notified that the investigation has been concluded with no formal action or there is a final decision in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Licensee response. </w:t>
      </w:r>
      <w:r>
        <w:rPr>
          <w:rFonts w:ascii="Times New Roman" w:hAnsi="Times New Roman"/>
          <w:b w:val="false"/>
          <w:i w:val="false"/>
          <w:color w:val="000000"/>
          <w:sz w:val="22"/>
        </w:rPr>
        <w:t>Before a contested case begins, the investigator will attempt to reach the licensee at the licensee’s listed address to allow the licensee to respond to the allegations. If the licensee cannot be found there, reasonable efforts to locate the licensee will be made. If the licensee cannot be located, the investigation will proceed without the licensee’s response, and the findings will be sent to the board. Contact and response from the licensee can be in writing or through a personal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Investigative report. </w:t>
      </w:r>
      <w:r>
        <w:rPr>
          <w:rFonts w:ascii="Times New Roman" w:hAnsi="Times New Roman"/>
          <w:b w:val="false"/>
          <w:i w:val="false"/>
          <w:color w:val="000000"/>
          <w:sz w:val="22"/>
        </w:rPr>
        <w:t>Upon completion of an investigation, the investigator will prepare a report for the board’s consideration. The report will set forth the information obtained in the course of the investigation and the response, if any,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Board review. </w:t>
      </w:r>
      <w:r>
        <w:rPr>
          <w:rFonts w:ascii="Times New Roman" w:hAnsi="Times New Roman"/>
          <w:b w:val="false"/>
          <w:i w:val="false"/>
          <w:color w:val="000000"/>
          <w:sz w:val="22"/>
        </w:rPr>
        <w:t>The board will review the investigative record, discuss the case, and take one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Close the investigative file without action. The board will notify the complainant and the licensee of the decision. The board may reconsider and reopen a closed complaint or investigative file at a later date should it be deemed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further investigation, including peer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Meet with the licensee. The board or the licensee may request that the licensee appear before the board to discuss a pending investigation. The board has discretion on whether to grant a licensee’s request for an appearance. By electing to participate in the appearance, the licensee waives any objection to a board member’s both participating in the appearance and later participating as a decision maker in a contested case proceeding on the grounds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Board members have personally investigated the case,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Board members have combined investigative and adjudicative functions.</w:t>
      </w:r>
    </w:p>
    <w:p>
      <w:pPr>
        <w:spacing w:before="0" w:after="0"/>
        <w:ind w:left="120"/>
        <w:jc w:val="both"/>
      </w:pPr>
      <w:r>
        <w:rPr>
          <w:rFonts w:ascii="Times New Roman" w:hAnsi="Times New Roman"/>
          <w:b w:val="false"/>
          <w:i w:val="false"/>
          <w:color w:val="000000"/>
          <w:sz w:val="22"/>
        </w:rPr>
        <w:t>If the executive director or director of legal affairs participates in the appearance, the licensee further waives any objection to having the executive director or director of legal affairs assist the board in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Issue an informal letter of warning or education. If the board concludes that there is not probable cause to file disciplinary charges, the board may issue the licensee an informal letter of warning or education. A letter of warning or education is an informal communication between the board and the licensee and is not formal disciplinary action or a public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File a statement of charges. If the board determines that there is probable cause for taking formal disciplinary action against a licensee, the board shall file a statement of charges, thereby commencing a contested case proceeding.</w:t>
      </w:r>
    </w:p>
    <w:p>
      <w:pPr>
        <w:spacing w:before="0" w:after="0"/>
        <w:ind w:left="120"/>
        <w:jc w:val="both"/>
      </w:pPr>
      <w:r>
        <w:rPr>
          <w:rFonts w:ascii="Times New Roman" w:hAnsi="Times New Roman"/>
          <w:b w:val="false"/>
          <w:i w:val="false"/>
          <w:color w:val="000000"/>
          <w:sz w:val="22"/>
        </w:rPr>
        <w:t>Prior to the initiation of formal disciplinary charges in a case involving the supervision of a physician associate, the board shall forward a copy of the investigative report to the board of physician associates for its advice and recommendation. The board of physician associates shall respond within six weeks or sooner if requested by the board of medicine. The board of medicine shall consider the advice and recommendation of the board of physician associates.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Request a combined statement of charges and settlement agreement. At the board’s discretion, the board and the licensee may enter into a combined statement of charges and settlement agreement to resolve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662.2(6)</w:t>
      </w:r>
      <w:r>
        <w:rPr>
          <w:rFonts w:ascii="Times New Roman" w:hAnsi="Times New Roman"/>
          <w:b w:val="false"/>
          <w:i w:val="false"/>
          <w:color w:val="000000"/>
          <w:sz w:val="22"/>
        </w:rPr>
        <w:t> </w:t>
      </w:r>
      <w:r>
        <w:rPr>
          <w:rFonts w:ascii="Times New Roman" w:hAnsi="Times New Roman"/>
          <w:b w:val="false"/>
          <w:i/>
          <w:color w:val="000000"/>
          <w:sz w:val="22"/>
        </w:rPr>
        <w:t xml:space="preserve">Licensee-patient privileged communications. </w:t>
      </w:r>
      <w:r>
        <w:rPr>
          <w:rFonts w:ascii="Times New Roman" w:hAnsi="Times New Roman"/>
          <w:b w:val="false"/>
          <w:i w:val="false"/>
          <w:color w:val="000000"/>
          <w:sz w:val="22"/>
        </w:rPr>
        <w:t xml:space="preserve">The privilege of confidential communication between the recipient and the provider of health care services do not extend to afford confidentiality to medical records maintained by or on behalf of the subject of an investigation by the board, or records maintained by any public or private agency or organization, which relate to a matter under investigation by the board. No provision of Iowa Code section </w:t>
      </w:r>
      <w:hyperlink r:id="rId8">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except as it relates to an attorney of the licensee, or the stenographer or confidential clerk of the licensee’s attorney, shall be interpreted to restrict access by the board or its staff or agents to information sought in an investigation being conducted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662.2(7)</w:t>
      </w:r>
      <w:r>
        <w:rPr>
          <w:rFonts w:ascii="Times New Roman" w:hAnsi="Times New Roman"/>
          <w:b w:val="false"/>
          <w:i w:val="false"/>
          <w:color w:val="000000"/>
          <w:sz w:val="22"/>
        </w:rPr>
        <w:t> </w:t>
      </w:r>
      <w:r>
        <w:rPr>
          <w:rFonts w:ascii="Times New Roman" w:hAnsi="Times New Roman"/>
          <w:b w:val="false"/>
          <w:i/>
          <w:color w:val="000000"/>
          <w:sz w:val="22"/>
        </w:rPr>
        <w:t xml:space="preserve">Investigation of malpractice lawsuits, judgments and settlements. </w:t>
      </w:r>
      <w:r>
        <w:rPr>
          <w:rFonts w:ascii="Times New Roman" w:hAnsi="Times New Roman"/>
          <w:b w:val="false"/>
          <w:i w:val="false"/>
          <w:color w:val="000000"/>
          <w:sz w:val="22"/>
        </w:rPr>
        <w:t>The board will review reports received from insurance carriers and licensees involving malpractice lawsuits, adverse judgments, and settlements. The board may choose to investigate such reports in the same manner as is prescribed in these rules for the review and investigation of other complaints to determine whether there is probable cause under applicable statutes or administrative rules for licensee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662.2(8)</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investigative information. </w:t>
      </w:r>
      <w:r>
        <w:rPr>
          <w:rFonts w:ascii="Times New Roman" w:hAnsi="Times New Roman"/>
          <w:b w:val="false"/>
          <w:i w:val="false"/>
          <w:color w:val="000000"/>
          <w:sz w:val="22"/>
        </w:rPr>
        <w:t>All investigative information gathered by the board or its employees or agents, including peer reviewers, is confidential and privileged. The information cannot be obtained through discovery, subpoena, or other legal means except by the licensee and the board. This information is not admissible in any judicial or administrative proceeding, except in cases involving licensee discipline. However, the board’s statement of charges, settlement agreements, or decisions in disciplinary proceedings are public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53.662.2.pdf" Type="http://schemas.openxmlformats.org/officeDocument/2006/relationships/hyperlink" Id="rId4"/>
    <Relationship TargetMode="External" Target="https://www.legis.iowa.gov/docs/iac/rule/653.662.2.pdf" Type="http://schemas.openxmlformats.org/officeDocument/2006/relationships/hyperlink" Id="rId5"/>
    <Relationship TargetMode="External" Target="https://www.legis.iowa.gov/docs/iac/rule/653.662.2.pdf" Type="http://schemas.openxmlformats.org/officeDocument/2006/relationships/hyperlink" Id="rId6"/>
    <Relationship TargetMode="External" Target="https://www.legis.iowa.gov/docs/iac/rule/653.662.2.pdf" Type="http://schemas.openxmlformats.org/officeDocument/2006/relationships/hyperlink" Id="rId7"/>
    <Relationship TargetMode="External" Target="https://www.legis.iowa.gov/docs/ico/chapter/622.10.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