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481—659.7</w:t>
      </w:r>
      <w:r>
        <w:rPr>
          <w:rFonts w:ascii="Times New Roman" w:hAnsi="Times New Roman"/>
          <w:b/>
          <w:i w:val="false"/>
          <w:color w:val="000000"/>
          <w:sz w:val="22"/>
        </w:rPr>
        <w:t xml:space="preserve">(148,272C) </w:t>
      </w:r>
      <w:r>
        <w:rPr>
          <w:rFonts w:ascii="Times New Roman" w:hAnsi="Times New Roman"/>
          <w:b/>
          <w:i w:val="false"/>
          <w:color w:val="000000"/>
          <w:sz w:val="22"/>
        </w:rPr>
        <w:t xml:space="preserve">Communication with physician associate supervisees. </w:t>
      </w:r>
      <w:r>
        <w:rPr>
          <w:rFonts w:ascii="Times New Roman" w:hAnsi="Times New Roman"/>
          <w:b w:val="false"/>
          <w:i w:val="false"/>
          <w:color w:val="000000"/>
          <w:sz w:val="22"/>
        </w:rPr>
        <w:t>The physician shall notify all physician associate supervisees within one workday upon receiving disciplinary action from the board or any other change in status that affects the physician’s eligibility to supervise a physician associate.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