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481—658.1</w:t>
      </w:r>
      <w:r>
        <w:rPr>
          <w:rFonts w:ascii="Times New Roman" w:hAnsi="Times New Roman"/>
          <w:b/>
          <w:i w:val="false"/>
          <w:color w:val="000000"/>
          <w:sz w:val="22"/>
        </w:rPr>
        <w:t xml:space="preserve">(148H)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 surgeon or an osteopathic physician or surgeon licensed under Iowa Code chapter </w:t>
      </w:r>
      <w:hyperlink r:id="rId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registered nurse or an advanced registered nurse practitioner licensed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 physician associate licensed under Iowa Code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other persons licensed under Iowa Code chapter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when acting within the scope of the person’s profession and doing work of a nature consistent with the person’s education and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person who is certified by the American Board of Medical Genetics and Genomics as a doctor of philosophy and is not a genetic counselor licensed pursuant to Iowa Code chapter </w:t>
      </w:r>
      <w:hyperlink r:id="rId8">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employed as a genetic counselor by the federal government or an agency thereof if the person provides genetic counseling services solely under the direction and control of the entity by which the person is employed.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genetic counseling 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48C.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48H.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