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481—655.9</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practice of medicine using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 store-and-forward transmission”</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“In-person encounter”</w:t>
      </w:r>
      <w:r>
        <w:rPr>
          <w:rFonts w:ascii="Times New Roman" w:hAnsi="Times New Roman"/>
          <w:b w:val="false"/>
          <w:i w:val="false"/>
          <w:color w:val="000000"/>
          <w:sz w:val="22"/>
        </w:rPr>
        <w:t> </w:t>
      </w:r>
      <w:r>
        <w:rPr>
          <w:rFonts w:ascii="Times New Roman" w:hAnsi="Times New Roman"/>
          <w:b w:val="false"/>
          <w:i w:val="false"/>
          <w:color w:val="000000"/>
          <w:sz w:val="22"/>
        </w:rPr>
        <w:t>means that the physician and the patient are in the physical presence of each other and are in the same physical location during the physician-patient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medical physician or osteopathic physician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w:t>
      </w:r>
      <w:r>
        <w:rPr>
          <w:rFonts w:ascii="Times New Roman" w:hAnsi="Times New Roman"/>
          <w:b w:val="false"/>
          <w:i w:val="false"/>
          <w:color w:val="000000"/>
          <w:sz w:val="22"/>
        </w:rPr>
        <w:t> </w:t>
      </w:r>
      <w:r>
        <w:rPr>
          <w:rFonts w:ascii="Times New Roman" w:hAnsi="Times New Roman"/>
          <w:b w:val="false"/>
          <w:i w:val="false"/>
          <w:color w:val="000000"/>
          <w:sz w:val="22"/>
        </w:rPr>
        <w:t>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shall not include the provision of medical services only through an audio-only telephone, email messages, facsimile transmissions, or U.S. mail or other parcel service, or any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 technologies”</w:t>
      </w:r>
      <w:r>
        <w:rPr>
          <w:rFonts w:ascii="Times New Roman" w:hAnsi="Times New Roman"/>
          <w:b w:val="false"/>
          <w:i w:val="false"/>
          <w:color w:val="000000"/>
          <w:sz w:val="22"/>
        </w:rPr>
        <w:t> </w:t>
      </w:r>
      <w:r>
        <w:rPr>
          <w:rFonts w:ascii="Times New Roman" w:hAnsi="Times New Roman"/>
          <w:b w:val="false"/>
          <w:i w:val="false"/>
          <w:color w:val="000000"/>
          <w:sz w:val="22"/>
        </w:rPr>
        <w:t>means technologies and devices enabling secure electronic communications and information exchanges between a licensee in one location and a patient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A licensee who uses telemedicine shall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655.9(3)</w:t>
      </w:r>
      <w:r>
        <w:rPr>
          <w:rFonts w:ascii="Times New Roman" w:hAnsi="Times New Roman"/>
          <w:b w:val="false"/>
          <w:i w:val="false"/>
          <w:color w:val="000000"/>
          <w:sz w:val="22"/>
        </w:rPr>
        <w:t> </w:t>
      </w:r>
      <w:r>
        <w:rPr>
          <w:rFonts w:ascii="Times New Roman" w:hAnsi="Times New Roman"/>
          <w:b w:val="false"/>
          <w:i/>
          <w:color w:val="000000"/>
          <w:sz w:val="22"/>
        </w:rPr>
        <w:t xml:space="preserve">Iowa medical license required. </w:t>
      </w:r>
      <w:r>
        <w:rPr>
          <w:rFonts w:ascii="Times New Roman" w:hAnsi="Times New Roman"/>
          <w:b w:val="false"/>
          <w:i w:val="false"/>
          <w:color w:val="000000"/>
          <w:sz w:val="22"/>
        </w:rPr>
        <w:t xml:space="preserve">A physician who uses telemedicine in the diagnosis and treatment of a patient located in Iowa shall hold an active Iowa medical license consistent with state and federal laws. Nothing in this rule shall be construed to supersede the exceptions to licensure contained in </w:t>
      </w:r>
      <w:hyperlink r:id="rId4">
        <w:r>
          <w:rPr>
            <w:rStyle w:val="Hyperlink"/>
            <w:rFonts w:ascii="Times New Roman" w:hAnsi="Times New Roman"/>
            <w:b w:val="false"/>
            <w:i w:val="false"/>
            <w:color w:val="000000"/>
            <w:sz w:val="22"/>
          </w:rPr>
          <w:t>481—subrule 652.2(2)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655.9(4)</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A licensee who uses telemedicine is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655.9(5)</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uses telemedicine shall ensure that the services provided are consistent with the licensee’s scope of practice, including the licensee’s education, training, experience, ability, licensure,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655.9(6)</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w:t>
      </w:r>
      <w:r>
        <w:rPr>
          <w:rFonts w:ascii="Times New Roman" w:hAnsi="Times New Roman"/>
          <w:b w:val="false"/>
          <w:i w:val="false"/>
          <w:color w:val="000000"/>
          <w:sz w:val="22"/>
        </w:rPr>
        <w:t>A licensee who uses telemedicine shall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655.9(7)</w:t>
      </w:r>
      <w:r>
        <w:rPr>
          <w:rFonts w:ascii="Times New Roman" w:hAnsi="Times New Roman"/>
          <w:b w:val="false"/>
          <w:i w:val="false"/>
          <w:color w:val="000000"/>
          <w:sz w:val="22"/>
        </w:rPr>
        <w:t> </w:t>
      </w:r>
      <w:r>
        <w:rPr>
          <w:rFonts w:ascii="Times New Roman" w:hAnsi="Times New Roman"/>
          <w:b w:val="false"/>
          <w:i/>
          <w:color w:val="000000"/>
          <w:sz w:val="22"/>
        </w:rPr>
        <w:t xml:space="preserve">Physician-patient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shall establish a valid physician-patient relationship with the person who receives telemedicine services. The physician-patient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a health-related matter seeks assistance from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agrees to undertake diagnosis and treatment of the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valid physician-patient relationship may be established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In-person encounter. Through an in-person medical interview and physical examination where the standard of care would require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Consultation with another licensee. Through consultation with another licensee (or other health care provider) who has an established relationship with the patient and who agrees to participate in, or supervise, the patient’s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655.9(8)</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shall perform an in-person medical interview and physical examination for each patient. However, the medical interview and physical examination may not be in-person if the technology utilized in a telemedicine encounter is sufficient to establish an informed diagnosis as though the medical interview and physical examination had been performed in-person. Prior to providing treatment, including issuing prescriptions, electronically or otherwise, a licensee who uses telemedicine shall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655.9(9)</w:t>
      </w:r>
      <w:r>
        <w:rPr>
          <w:rFonts w:ascii="Times New Roman" w:hAnsi="Times New Roman"/>
          <w:b w:val="false"/>
          <w:i w:val="false"/>
          <w:color w:val="000000"/>
          <w:sz w:val="22"/>
        </w:rPr>
        <w:t> </w:t>
      </w:r>
      <w:r>
        <w:rPr>
          <w:rFonts w:ascii="Times New Roman" w:hAnsi="Times New Roman"/>
          <w:b w:val="false"/>
          <w:i/>
          <w:color w:val="000000"/>
          <w:sz w:val="22"/>
        </w:rPr>
        <w:t xml:space="preserve">Nonphysician health care providers. </w:t>
      </w:r>
      <w:r>
        <w:rPr>
          <w:rFonts w:ascii="Times New Roman" w:hAnsi="Times New Roman"/>
          <w:b w:val="false"/>
          <w:i w:val="false"/>
          <w:color w:val="000000"/>
          <w:sz w:val="22"/>
        </w:rPr>
        <w:t>If a licensee who uses telemedicine relies upon or delegates the provision of telemedicine services to a nonphysician health care provider,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health care provider is qualified and trained to provide that service within the scope of the nonphysician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licensee is available in person or electronically to consult with the nonphysician health care provider, particularly in the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655.9(10)</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shall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655.9(11)</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shall, when medically appropriate, identify the medical home or treating physician(s) for the patient, when available, where in-person services can be delivered in coordination with the telemedicine services. The licensee shall provide a copy of the medical record to the patient’s medical home or treating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655.9(12)</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shall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655.9(13)</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shall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655.9(14)</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A licensee who uses telemedicine shall ensure that complete, accurate and timely medical records are maintained for the patient when appropriate, including all patient-related electronic communications, records of past care, physician-patient communications, laboratory and test results, evaluations and consultations, prescriptions, and instructions obtained or produced in connection with the use of telemedicine technologies. The licensee shall note in the patient’s record when telemedicine is used to provide diagnosis and treatment. The licensee shall ensure that the patient or another licensee designated by the patient has timely access to all information obtained during the telemedicine encounter. The licensee shall ensure that the patient receives, upon request, a summary of each telemedicine encounter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655.9(15)</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shall ensure that all telemedicine encounters comply with the privacy and security measures of the Health Insurance Portability and Accountability Act of 1996, PL 104-191, August 21, 1996, 110 Stat. 1936, and any amendments as of October 16, 2024,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shall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care personnel who will process messages;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Types of transactions that will be permitted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Required patient information to be included in the communication, including patient name, identification number and type of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Archiving and retrieval;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shall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655.9(16)</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The board recognizes that three 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compliant with the Health Insurance Portability and Accountability Act of 1996, PL 104-191, August 21, 1996, 110 Stat. 1936, and any amendments as of October 16,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655.9(17)</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shall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Identity, licensure, certification, credentials, and qualifications of all health care providers who are providing the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passive tracking mechanisms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655.9(18)</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shall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register complaints. The mechanism shall include information regarding the filing of complaints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655.9(19)</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Advertising or promotion of goods or products from which the licensee(s)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licensee(s)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shall not transmit prescriptions to a specific pharmacy, or recommend a pharmacy, in exchange for any type of consideration or benefit from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655.9(20)</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patient has been examined in person by an advanced registered nurse practitioner or a physician associate or other licensed practitioner with whom the licensee has a supervisory or collaborative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and hospice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655.9(21)</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physician-patient relationship, a licensee’s prescribing to a patient based solely on a telephonic evaluation is prohibited, with the exception of the circumstances described in subrule </w:t>
      </w:r>
      <w:hyperlink r:id="rId5">
        <w:r>
          <w:rPr>
            <w:rStyle w:val="Hyperlink"/>
            <w:rFonts w:ascii="Times New Roman" w:hAnsi="Times New Roman"/>
            <w:b w:val="false"/>
            <w:i w:val="false"/>
            <w:color w:val="000000"/>
            <w:sz w:val="22"/>
          </w:rPr>
          <w:t>655.9(20)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652.2.pdf" Type="http://schemas.openxmlformats.org/officeDocument/2006/relationships/hyperlink" Id="rId4"/>
    <Relationship TargetMode="External" Target="https://www.legis.iowa.gov/docs/iac/rule/653.655.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