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481—65.17</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Medication management. </w:t>
      </w:r>
      <w:r>
        <w:rPr>
          <w:rFonts w:ascii="Times New Roman" w:hAnsi="Times New Roman"/>
          <w:b w:val="false"/>
          <w:i w:val="false"/>
          <w:color w:val="000000"/>
          <w:sz w:val="22"/>
        </w:rPr>
        <w:t>Medications shall be prescribed on an individual basis by a person who is authorized by Iowa law to prescribe. (I, 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Medication orders shall be correctly implemented by qualified personnel. (II)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Qualified staff shall ensure that residents are able to take their own medication. (I, 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Each physician order allowing a resident to self-administer medications shall specify whether this self-medication shall be without supervision or under the supervision of qualified staff as defined in </w:t>
      </w:r>
      <w:hyperlink r:id="rId4">
        <w:r>
          <w:rPr>
            <w:rStyle w:val="Hyperlink"/>
            <w:rFonts w:ascii="Times New Roman" w:hAnsi="Times New Roman"/>
            <w:b w:val="false"/>
            <w:i w:val="false"/>
            <w:color w:val="000000"/>
            <w:sz w:val="22"/>
          </w:rPr>
          <w:t>65.17(2)</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65.17(1)</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approved nurse aide course, nurse aide training and testing program or nurse aide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employed in the same facility for at least six consecutive months prior to the start of the medication aide course. This requirement is not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letter of recommendation for admission to the medication aide course from the employing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ind w:left="120"/>
        <w:jc w:val="both"/>
      </w:pPr>
      <w:r>
        <w:rPr>
          <w:rFonts w:ascii="Times New Roman" w:hAnsi="Times New Roman"/>
          <w:b w:val="false"/>
          <w:i w:val="false"/>
          <w:color w:val="000000"/>
          <w:sz w:val="22"/>
        </w:rPr>
        <w:t xml:space="preserve">The requirements of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do not apply to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Unit dose medication shall remain in the identifiable unit dose package until given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Medications that are not contained in unit dose packaging shall be set up, identified by resident name and medication name, and administered by the same person. The medications shall be administered within one hour of preparation.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administering medications must observe and check to make sure the resident swallows oral medications and must record the date, time, amount and name of each medication given.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qualified nurse, physician, pharmacist, or physician associate (PA). In the case of a resident who has been certified by the resident’s physician or physician associate (PA) as capable of taking the resident’s own insulin, the resident may prepare and inject the resident’s own insulin.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Current and accurate records must be kept on the receipt and disposition of all Schedule II drugs.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65.17(2)</w:t>
      </w:r>
      <w:r>
        <w:rPr>
          <w:rFonts w:ascii="Times New Roman" w:hAnsi="Times New Roman"/>
          <w:b w:val="false"/>
          <w:i w:val="false"/>
          <w:color w:val="000000"/>
          <w:sz w:val="22"/>
        </w:rPr>
        <w:t> </w:t>
      </w:r>
      <w:r>
        <w:rPr>
          <w:rFonts w:ascii="Times New Roman" w:hAnsi="Times New Roman"/>
          <w:b w:val="false"/>
          <w:i w:val="false"/>
          <w:color w:val="000000"/>
          <w:sz w:val="22"/>
        </w:rPr>
        <w:t>For each resident who is taking medication with or without supervision, there shall be documentation on the individual’s record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drug, dose, and schedule;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Identified drug allergies and observed adverse reactions;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 precautions for that resident;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of resident’s continuing ability to administer own medication.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counseling shall be provided for all residents in accordance with the IPP on an ongoing basis and as part of discharge planning unless contraindicated in writing by the physician with reasons and pursuant to </w:t>
      </w:r>
      <w:hyperlink r:id="rId5">
        <w:r>
          <w:rPr>
            <w:rStyle w:val="Hyperlink"/>
            <w:rFonts w:ascii="Times New Roman" w:hAnsi="Times New Roman"/>
            <w:b w:val="false"/>
            <w:i w:val="false"/>
            <w:color w:val="000000"/>
            <w:sz w:val="22"/>
          </w:rPr>
          <w:t>65.12(2)</w:t>
        </w:r>
      </w:hyperlink>
      <w:r>
        <w:rPr>
          <w:rFonts w:ascii="Times New Roman" w:hAnsi="Times New Roman"/>
          <w:b w:val="false"/>
          <w:i/>
          <w:color w:val="000000"/>
          <w:sz w:val="22"/>
        </w:rPr>
        <w:t>“c.”</w:t>
      </w:r>
      <w:r>
        <w:rPr>
          <w:rFonts w:ascii="Times New Roman" w:hAnsi="Times New Roman"/>
          <w:b w:val="false"/>
          <w:i w:val="false"/>
          <w:color w:val="000000"/>
          <w:sz w:val="22"/>
        </w:rPr>
        <w:t xml:space="preserve"> (II, III)</w:t>
      </w:r>
    </w:p>
    <w:p>
      <w:pPr>
        <w:spacing w:before="0" w:after="0"/>
        <w:ind w:left="120"/>
        <w:jc w:val="both"/>
      </w:pPr>
      <w:r>
        <w:rPr>
          <w:rFonts w:ascii="Times New Roman" w:hAnsi="Times New Roman"/>
          <w:b w:val="false"/>
          <w:i w:val="false"/>
          <w:color w:val="000000"/>
          <w:sz w:val="22"/>
        </w:rPr>
        <w:t>Each resident and when appropriate, a family member or other identified caregiver, shall be given verbal and written information about all medications the resident is currently using, including over-the-counter medications. A suggested reference is “USPDI, Advice for the Patient.” (II, III)</w:t>
      </w:r>
    </w:p>
    <w:p>
      <w:pPr>
        <w:spacing w:before="0" w:after="0"/>
        <w:ind w:left="120"/>
        <w:jc w:val="both"/>
      </w:pPr>
      <w:r>
        <w:rPr>
          <w:rFonts w:ascii="Times New Roman" w:hAnsi="Times New Roman"/>
          <w:b w:val="false"/>
          <w:i w:val="false"/>
          <w:color w:val="000000"/>
          <w:sz w:val="22"/>
        </w:rPr>
        <w:t>The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reason for, and amount of medication to be taken;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medication is to be taken and reason that the schedule was established;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Possible benefits, risks and side effects of each medication, including over-the-counter medications;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resources in the community qualified to answer questions about medications;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available resources or agencies which may assist the resident to obtain medication after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65.17(4)</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certified in writing by the physician as capable of taking their own medications may retain these medications in a secure centralized location. Individual locked storage shall be utilized.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Adequate size cabinet with lock which can be used for storage of drugs, solutions, and prescriptions. A locked drug cart may be used.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shall be kept locked when not in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key shall be in the possession of the employee charged with the responsibility of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which are stored in a common refrigerator shall be kept in a locked box properly labeled,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External medications are those to be applied to the outside of the body and include, but are not limited to, salves, ointments, gels, paste, soaps, baths, and lotions. Internal medications are those to be applied inside the body or ingested and include, but are not limited to, oral and injectable medications, eye drops and ointments, ear drops and ointments, and suppositories. Also, eye drops and ear drops shall be separated from each other as well as from other internal and external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in a separate room from the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Inspection of the condition of stored drugs shall be made by the administrator and a licensed pharmacist not less than once every three months. The inspection shall be verified by a report signed by the administrator and the pharmacist and filed with the administrator. The report shall include, but need not be limited to, certifying absence of the following: expired drugs, deteriorated drugs, improper labeling, drugs for which there is no current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Double-locked storage of Schedule II drugs shall not be required under single unit package drug distribution systems in which the quantity stored does not exceed a seven-day supply and a missing dose can be readily detected but must be kept in a locked medication cabinet. Quantities in excess of a seven-day supply must be double-locked.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shall not be kept.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labels on medications must be legible. If labels are not legible, the medication shall be sent back to the dispenser as defined in Iowa Code section </w:t>
      </w:r>
      <w:hyperlink r:id="rId6">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for relabeling.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dispensed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policies and procedures to destroy unused prescription drugs for residents who die. The policies and procedures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Drugs shall be destroyed by the person in charge in the presence of the administrator or the administrator’s designee or, if a unit dose system is used, the drugs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Notation of the destruction shall be made in the resident’s chart, with signatures of the persons involved in the destruction;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drugs are disposed of shall be identified (i.e., incinerator, sewer, landfill).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also adopt policies and procedures for the disposal of controlled substances as defined by the Iowa board of pharmacy dispensed to residents whose administration has been discontinued by the prescriber. These policies and procedures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a release from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drugs were destroyed and by whom, including witnesses to the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Mechanisms for recording the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the resident or the conservator or guardian refuses to grant permission for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policies and procedures for the disposal of unused, discontinued medication. The procedures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specified time after which medication must be destroyed, sent back to the dispenser or placed in long-term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permission of the resident, or the conservator or guardian;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the resident, conservator or guardian refuses to grant permission for disposal;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Unused, discontinued medication shall be locked and shall be separate from current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Residents shall not keep any prescription or over-the-counter medication in their possession unless the resident has been determined to be capable of self-administration of medications.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prescription drugs shall be administered to a resident without a written order signed by a person qualified to prescribe the medication and renewed quarterly.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Prescription drugs shall be reordered only with the permission of the attending prescriber.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65.17(6)</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policies and procedures to govern the administration of prescribed medications to residents on leave from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Medication may be issued to residents who will be on leave from a facility for less than 24 hours. Non-child-resistant containers may be used. Each container may hold only one medication. A label on each container shall indicate the date, the resident’s name, the facility,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longer than 24 hours shall be obtained in accordance with requirements established by the Iowa board of pharmacy examiners.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distributed as described in this subrule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ICF/PMI that administers controlled substances shall annually obtain a registration from the Iowa board of pharmacy examiners pursuant to Iowa Code section </w:t>
      </w:r>
      <w:hyperlink r:id="rId7">
        <w:r>
          <w:rPr>
            <w:rStyle w:val="Hyperlink"/>
            <w:rFonts w:ascii="Times New Roman" w:hAnsi="Times New Roman"/>
            <w:b w:val="false"/>
            <w:i w:val="false"/>
            <w:color w:val="000000"/>
            <w:sz w:val="22"/>
          </w:rPr>
          <w:t>204.302(1)</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17.pdf" Type="http://schemas.openxmlformats.org/officeDocument/2006/relationships/hyperlink" Id="rId4"/>
    <Relationship TargetMode="External" Target="https://www.legis.iowa.gov/docs/iac/rule/481.65.12.pdf" Type="http://schemas.openxmlformats.org/officeDocument/2006/relationships/hyperlink" Id="rId5"/>
    <Relationship TargetMode="External" Target="https://www.legis.iowa.gov/docs/ico/chapter/147.107.pdf" Type="http://schemas.openxmlformats.org/officeDocument/2006/relationships/hyperlink" Id="rId6"/>
    <Relationship TargetMode="External" Target="https://www.legis.iowa.gov/docs/ico/chapter/204.302.pdf" Type="http://schemas.openxmlformats.org/officeDocument/2006/relationships/hyperlink" Id="rId7"/>
    <Relationship TargetMode="External" Target="https://www.legis.iowa.gov/docs/ico/chapter/135C.1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