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these rules, the following terms shall have the meaning indicated in this chapter. The definitions set out in Iowa Code section </w:t>
      </w:r>
      <w:hyperlink r:id="rId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incorporated verbatim in the rules. The use of the words “shall” and “must” indicate these standards are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“Academic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general information and skills which establish the basis for subsequent acquisition and application of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“Activity coordinator”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completed the state-approved activity coordinator’s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appropriate”</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settings, and personal appearance and possessions commensurate with the person’s chronological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mental illness”</w:t>
      </w:r>
      <w:r>
        <w:rPr>
          <w:rFonts w:ascii="Times New Roman" w:hAnsi="Times New Roman"/>
          <w:b w:val="false"/>
          <w:i w:val="false"/>
          <w:color w:val="000000"/>
          <w:sz w:val="22"/>
        </w:rPr>
        <w:t> </w:t>
      </w:r>
      <w:r>
        <w:rPr>
          <w:rFonts w:ascii="Times New Roman" w:hAnsi="Times New Roman"/>
          <w:b w:val="false"/>
          <w:i w:val="false"/>
          <w:color w:val="000000"/>
          <w:sz w:val="22"/>
        </w:rPr>
        <w:t>(see the definition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living training services”</w:t>
      </w:r>
      <w:r>
        <w:rPr>
          <w:rFonts w:ascii="Times New Roman" w:hAnsi="Times New Roman"/>
          <w:b w:val="false"/>
          <w:i w:val="false"/>
          <w:color w:val="000000"/>
          <w:sz w:val="22"/>
        </w:rPr>
        <w:t> </w:t>
      </w:r>
      <w:r>
        <w:rPr>
          <w:rFonts w:ascii="Times New Roman" w:hAnsi="Times New Roman"/>
          <w:b w:val="false"/>
          <w:i w:val="false"/>
          <w:color w:val="000000"/>
          <w:sz w:val="22"/>
        </w:rPr>
        <w:t>are those activities provided to assist a person to acquire or sustain the knowledge and skills essential to independent functioning to the person’s maximum potential in the physical and social environment. These services may focus on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Independent living skills which include those skills necessary to sustain oneself in the physical environment and are essential to the management of one’s personal property and business. This includes self-advocacy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which include self-awareness and self-control, social responsiveness, group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which include expressive and receptive skills in verbal and nonverbal language, including reading and writing.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Leisure time and recreational skills which include the skills necessary for a person to use leisure time in a manner which is satisfying and constructive to the person.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Parenting skills which include those skills necessary to meet the needs of the person’s child. This service is designed to assist the person with mental illness to acquire or sustain the skills necessary for parenting.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5">
        <w:r>
          <w:rPr>
            <w:rStyle w:val="Hyperlink"/>
            <w:rFonts w:ascii="Times New Roman" w:hAnsi="Times New Roman"/>
            <w:b w:val="false"/>
            <w:i w:val="false"/>
            <w:color w:val="000000"/>
            <w:sz w:val="22"/>
          </w:rPr>
          <w:t>481—52.1</w:t>
        </w:r>
      </w:hyperlink>
      <w:r>
        <w:rPr>
          <w:rFonts w:ascii="Times New Roman" w:hAnsi="Times New Roman"/>
          <w:b w:val="false"/>
          <w:i w:val="false"/>
          <w:color w:val="000000"/>
          <w:sz w:val="22"/>
        </w:rPr>
        <w:t>(235E).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“Diagnosis”</w:t>
      </w:r>
      <w:r>
        <w:rPr>
          <w:rFonts w:ascii="Times New Roman" w:hAnsi="Times New Roman"/>
          <w:b w:val="false"/>
          <w:i w:val="false"/>
          <w:color w:val="000000"/>
          <w:sz w:val="22"/>
        </w:rPr>
        <w:t> </w:t>
      </w:r>
      <w:r>
        <w:rPr>
          <w:rFonts w:ascii="Times New Roman" w:hAnsi="Times New Roman"/>
          <w:b w:val="false"/>
          <w:i w:val="false"/>
          <w:color w:val="000000"/>
          <w:sz w:val="22"/>
        </w:rPr>
        <w:t>means the investigation and analysis of the cause or nature of a person’s condition, situation or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care staff”</w:t>
      </w:r>
      <w:r>
        <w:rPr>
          <w:rFonts w:ascii="Times New Roman" w:hAnsi="Times New Roman"/>
          <w:b w:val="false"/>
          <w:i w:val="false"/>
          <w:color w:val="000000"/>
          <w:sz w:val="22"/>
        </w:rPr>
        <w:t> </w:t>
      </w:r>
      <w:r>
        <w:rPr>
          <w:rFonts w:ascii="Times New Roman" w:hAnsi="Times New Roman"/>
          <w:b w:val="false"/>
          <w:i w:val="false"/>
          <w:color w:val="000000"/>
          <w:sz w:val="22"/>
        </w:rPr>
        <w:t>means those staff persons who provide a homelike environment for the residents and assist or supervise the resident in meeting the goals in the resident’s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identify a person’s current functioning level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“Exploitation”</w:t>
      </w:r>
      <w:r>
        <w:rPr>
          <w:rFonts w:ascii="Times New Roman" w:hAnsi="Times New Roman"/>
          <w:b w:val="false"/>
          <w:i w:val="false"/>
          <w:color w:val="000000"/>
          <w:sz w:val="22"/>
        </w:rPr>
        <w:t> </w:t>
      </w:r>
      <w:r>
        <w:rPr>
          <w:rFonts w:ascii="Times New Roman" w:hAnsi="Times New Roman"/>
          <w:b w:val="false"/>
          <w:i w:val="false"/>
          <w:color w:val="000000"/>
          <w:sz w:val="22"/>
        </w:rPr>
        <w:t>means the act or process of taking unfair advantage of a resident, or the resident’s physical or financial resources for one’s own personal or pecuniary profit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“Goals”</w:t>
      </w:r>
      <w:r>
        <w:rPr>
          <w:rFonts w:ascii="Times New Roman" w:hAnsi="Times New Roman"/>
          <w:b w:val="false"/>
          <w:i w:val="false"/>
          <w:color w:val="000000"/>
          <w:sz w:val="22"/>
        </w:rPr>
        <w:t> </w:t>
      </w:r>
      <w:r>
        <w:rPr>
          <w:rFonts w:ascii="Times New Roman" w:hAnsi="Times New Roman"/>
          <w:b w:val="false"/>
          <w:i w:val="false"/>
          <w:color w:val="000000"/>
          <w:sz w:val="22"/>
        </w:rPr>
        <w:t>means general statements of attainable expected accomplishments to be achieved in meeting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all accidental, purposeful, or other occurrences within the facility or on the premises affecting residents, visitors, or employees whether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program plan (IPP)”</w:t>
      </w:r>
      <w:r>
        <w:rPr>
          <w:rFonts w:ascii="Times New Roman" w:hAnsi="Times New Roman"/>
          <w:b w:val="false"/>
          <w:i w:val="false"/>
          <w:color w:val="000000"/>
          <w:sz w:val="22"/>
        </w:rPr>
        <w:t> </w:t>
      </w:r>
      <w:r>
        <w:rPr>
          <w:rFonts w:ascii="Times New Roman" w:hAnsi="Times New Roman"/>
          <w:b w:val="false"/>
          <w:i w:val="false"/>
          <w:color w:val="000000"/>
          <w:sz w:val="22"/>
        </w:rPr>
        <w:t>means a written plan for the provision of services to the resident that is developed and implemented using an interdisciplinary process that is based on the resident’s functional status, strengths, and needs and that identifies service activities designed to enable a person to maintain or move toward independent functioning. The plan identifies a continuum of development and outlines progressive steps and anticipated outcomes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“Informed consent”</w:t>
      </w:r>
      <w:r>
        <w:rPr>
          <w:rFonts w:ascii="Times New Roman" w:hAnsi="Times New Roman"/>
          <w:b w:val="false"/>
          <w:i w:val="false"/>
          <w:color w:val="000000"/>
          <w:sz w:val="22"/>
        </w:rPr>
        <w:t> </w:t>
      </w:r>
      <w:r>
        <w:rPr>
          <w:rFonts w:ascii="Times New Roman" w:hAnsi="Times New Roman"/>
          <w:b w:val="false"/>
          <w:i w:val="false"/>
          <w:color w:val="000000"/>
          <w:sz w:val="22"/>
        </w:rPr>
        <w:t>means an agreement by a person, or by the person’s legally authorized representative, based upon an understanding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full explanation of the procedures to be followed including an identification of those that are and are not experimental;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attendant discomforts, risks, and benefits to be expected;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disclosure of appropriate alternative procedures that would be advantageous for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process”</w:t>
      </w:r>
      <w:r>
        <w:rPr>
          <w:rFonts w:ascii="Times New Roman" w:hAnsi="Times New Roman"/>
          <w:b w:val="false"/>
          <w:i w:val="false"/>
          <w:color w:val="000000"/>
          <w:sz w:val="22"/>
        </w:rPr>
        <w:t> </w:t>
      </w:r>
      <w:r>
        <w:rPr>
          <w:rFonts w:ascii="Times New Roman" w:hAnsi="Times New Roman"/>
          <w:b w:val="false"/>
          <w:i w:val="false"/>
          <w:color w:val="000000"/>
          <w:sz w:val="22"/>
        </w:rPr>
        <w:t>means an approach to assessment, individual program planning, and service implementation in which planning participants function as a team. Each participant utilizing the skills, competencies, insights and perspectives provided by the participant’s training and experience focuses on identifying the service needs of the resident and the resident’s family. The purpose of the process is for participants to review and discuss, face-to-face, all information and recommendations and to reach decisions as a team. Participants share all information and recommendations, and develop as a team, a single, integrated individual program plan to meet the resident’s needs and, when appropriate, the resident’s family’s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the resident’s attending psychiatrist and QMHP,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“Least restrictive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environment in which the interventions in the lives of people with mental illness can be carried out with a minimum of limitation, intrusion, disruption, and departure from commonly accepted patterns of living.</w:t>
      </w:r>
    </w:p>
    <w:p>
      <w:pPr>
        <w:spacing w:before="0" w:after="0"/>
        <w:ind w:left="120"/>
        <w:jc w:val="both"/>
      </w:pPr>
      <w:r>
        <w:rPr>
          <w:rFonts w:ascii="Times New Roman" w:hAnsi="Times New Roman"/>
          <w:b w:val="false"/>
          <w:i w:val="false"/>
          <w:color w:val="000000"/>
          <w:sz w:val="22"/>
        </w:rPr>
        <w:t>It is the environment which allows residents to participate, to the maximum extent possible, in everyday life and to have control over the decisions that affect them. It is an environment that provides needed supports which do not interfere with personal liberty and do not unduly interfere with a person’s access to the normal events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the person in exercising constitutional and legislatively enacted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functioning”</w:t>
      </w:r>
      <w:r>
        <w:rPr>
          <w:rFonts w:ascii="Times New Roman" w:hAnsi="Times New Roman"/>
          <w:b w:val="false"/>
          <w:i w:val="false"/>
          <w:color w:val="000000"/>
          <w:sz w:val="22"/>
        </w:rPr>
        <w:t>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a device applied to a person’s limbs, head or body which restricts a person’s movement and includes, but is not limited to, leather straps, leather cuffs, camisoles or handcuffs.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humiliation, harassment, and threats of punishment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counselor”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mental retardation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commission described in Iowa Code section </w:t>
      </w:r>
      <w:hyperlink r:id="rId6">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illness”</w:t>
      </w:r>
      <w:r>
        <w:rPr>
          <w:rFonts w:ascii="Times New Roman" w:hAnsi="Times New Roman"/>
          <w:b w:val="false"/>
          <w:i w:val="false"/>
          <w:color w:val="000000"/>
          <w:sz w:val="22"/>
        </w:rPr>
        <w:t>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illnesses include the organic and functional psychoses, neuroses, personality disorders, alcoholism and drug dependence, behavioral disorders and other disorders as defined by the current edition of “American Psychiatric Association Diagnostic and Statistical Manual of Mental Disorders.” Mental illness is chronic when it is of long duration or marked by frequent recurrences.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“Normalization”</w:t>
      </w:r>
      <w:r>
        <w:rPr>
          <w:rFonts w:ascii="Times New Roman" w:hAnsi="Times New Roman"/>
          <w:b w:val="false"/>
          <w:i w:val="false"/>
          <w:color w:val="000000"/>
          <w:sz w:val="22"/>
        </w:rPr>
        <w:t> </w:t>
      </w:r>
      <w:r>
        <w:rPr>
          <w:rFonts w:ascii="Times New Roman" w:hAnsi="Times New Roman"/>
          <w:b w:val="false"/>
          <w:i w:val="false"/>
          <w:color w:val="000000"/>
          <w:sz w:val="22"/>
        </w:rPr>
        <w:t>means helping persons, in accordance with their needs and preferences, to achieve a lifestyle that is consistent with the norms and patterns of general society in ways which incorporate the age-appropriate and least restrictive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“Objectives”</w:t>
      </w:r>
      <w:r>
        <w:rPr>
          <w:rFonts w:ascii="Times New Roman" w:hAnsi="Times New Roman"/>
          <w:b w:val="false"/>
          <w:i w:val="false"/>
          <w:color w:val="000000"/>
          <w:sz w:val="22"/>
        </w:rPr>
        <w:t> </w:t>
      </w:r>
      <w:r>
        <w:rPr>
          <w:rFonts w:ascii="Times New Roman" w:hAnsi="Times New Roman"/>
          <w:b w:val="false"/>
          <w:i w:val="false"/>
          <w:color w:val="000000"/>
          <w:sz w:val="22"/>
        </w:rPr>
        <w:t>means specific, time-limited, and measurable statements showing outcomes or accomplishments necessary to progress toward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corporal punishment and the use of restraints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injury”</w:t>
      </w:r>
      <w:r>
        <w:rPr>
          <w:rFonts w:ascii="Times New Roman" w:hAnsi="Times New Roman"/>
          <w:b w:val="false"/>
          <w:i w:val="false"/>
          <w:color w:val="000000"/>
          <w:sz w:val="22"/>
        </w:rPr>
        <w:t> </w:t>
      </w:r>
      <w:r>
        <w:rPr>
          <w:rFonts w:ascii="Times New Roman" w:hAnsi="Times New Roman"/>
          <w:b w:val="false"/>
          <w:i w:val="false"/>
          <w:color w:val="000000"/>
          <w:sz w:val="22"/>
        </w:rPr>
        <w:t>means damage to any bodily tissue to the extent the tissue must undergo a healing process in order to be restored to a sound and healthy condition. It may also mean damage to the extent the bodily tissue cannot be restored to a sound and healthy condition, or results in the death of the resident whose bodily tissue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or physiological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a technique involving the use of one or more of a staff person’s arms, legs, hands or other body areas to restrict or control the movements of a resident. This does not include the use of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Special target populations;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population of a specified geographic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specified purpose;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requirements of certified psychiatric-mental health nurse practitioner pursuant to </w:t>
      </w:r>
      <w:hyperlink r:id="rId7">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Iowa Administrative Code,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“Psychiatrist”</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“Psychotherapeutic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 (QMHP)”</w:t>
      </w:r>
      <w:r>
        <w:rPr>
          <w:rFonts w:ascii="Times New Roman" w:hAnsi="Times New Roman"/>
          <w:b w:val="false"/>
          <w:i w:val="false"/>
          <w:color w:val="000000"/>
          <w:sz w:val="22"/>
        </w:rPr>
        <w: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nursing and social work; or is a doctor of medicine (M.D.) or a doctor of osteopathic medicine and surgery (D.O.) or a physician associate;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licensure law;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at least two years of postdegree experience, supervised by a mental health professional, in assessing mental problems and needs of individuals and in providing appropriate mental health services for those individuals. See rule </w:t>
      </w:r>
      <w:hyperlink r:id="rId8">
        <w:r>
          <w:rPr>
            <w:rStyle w:val="Hyperlink"/>
            <w:rFonts w:ascii="Times New Roman" w:hAnsi="Times New Roman"/>
            <w:b w:val="false"/>
            <w:i w:val="false"/>
            <w:color w:val="000000"/>
            <w:sz w:val="22"/>
          </w:rPr>
          <w:t>481—65.4</w:t>
        </w:r>
      </w:hyperlink>
      <w:r>
        <w:rPr>
          <w:rFonts w:ascii="Times New Roman" w:hAnsi="Times New Roman"/>
          <w:b w:val="false"/>
          <w:i w:val="false"/>
          <w:color w:val="000000"/>
          <w:sz w:val="22"/>
        </w:rPr>
        <w:t>(135C) for waiver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“Seclusion”</w:t>
      </w:r>
      <w:r>
        <w:rPr>
          <w:rFonts w:ascii="Times New Roman" w:hAnsi="Times New Roman"/>
          <w:b w:val="false"/>
          <w:i w:val="false"/>
          <w:color w:val="000000"/>
          <w:sz w:val="22"/>
        </w:rPr>
        <w:t> </w:t>
      </w:r>
      <w:r>
        <w:rPr>
          <w:rFonts w:ascii="Times New Roman" w:hAnsi="Times New Roman"/>
          <w:b w:val="false"/>
          <w:i w:val="false"/>
          <w:color w:val="000000"/>
          <w:sz w:val="22"/>
        </w:rPr>
        <w:t>means the isolation of the resident in a locked room which cannot be opened by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“Self-care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or sustain the knowledge, habits and skills essential to the daily needs of the person. The activities focus on personal hygiene, general health maintenance, mobility skills and other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 set of interrelated activities provided to a resident pursuant to the 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but is not limited to, the exposing of pubes to a resident, the exposure of a resident’s genitals, pubes, breasts or buttocks for sexual satisfaction, fondling or touching the inner thigh, groin, buttocks, anus or breast of a resident or the clothing covering these areas, sexually suggestive comments or remarks made to a resident, a genital to genital or rectal, or oral to genital or rectal contact, or the commission of a sexual offense under Iowa Code chapter </w:t>
      </w:r>
      <w:hyperlink r:id="rId9">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0">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or on behalf of a person in the areas of personal care and assistance and property maintenance in order to allow a person to live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to travel from one place to another to obtain services or carry out life’s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“Verbal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the use of derogatory terms or names, undue voice volume and rude comments, orders or responses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“Vocational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familiarize a person with production or employment requirements and to maintain or develop the person’s ability to function in a work setting. This service includes programming which allows or promotes the development of skills, attitudes and personal attributes appropriate to the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w:t>
      </w:r>
      <w:r>
        <w:rPr>
          <w:rFonts w:ascii="Times New Roman" w:hAnsi="Times New Roman"/>
          <w:b w:val="false"/>
          <w:i w:val="false"/>
          <w:color w:val="000000"/>
          <w:sz w:val="22"/>
        </w:rPr>
        <w:t> </w:t>
      </w:r>
      <w:r>
        <w:rPr>
          <w:rFonts w:ascii="Times New Roman" w:hAnsi="Times New Roman"/>
          <w:b w:val="false"/>
          <w:i w:val="false"/>
          <w:color w:val="000000"/>
          <w:sz w:val="22"/>
        </w:rPr>
        <w:t>means any activity during which a resident provides goods or services for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in writing or recorded”</w:t>
      </w:r>
      <w:r>
        <w:rPr>
          <w:rFonts w:ascii="Times New Roman" w:hAnsi="Times New Roman"/>
          <w:b w:val="false"/>
          <w:i w:val="false"/>
          <w:color w:val="000000"/>
          <w:sz w:val="22"/>
        </w:rPr>
        <w:t> </w:t>
      </w:r>
      <w:r>
        <w:rPr>
          <w:rFonts w:ascii="Times New Roman" w:hAnsi="Times New Roman"/>
          <w:b w:val="false"/>
          <w:i w:val="false"/>
          <w:color w:val="000000"/>
          <w:sz w:val="22"/>
        </w:rPr>
        <w:t>means that an account or entry is made in a permanent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C.1.pdf" Type="http://schemas.openxmlformats.org/officeDocument/2006/relationships/hyperlink" Id="rId4"/>
    <Relationship TargetMode="External" Target="https://www.legis.iowa.gov/docs/iac/rule/481.52.1.pdf" Type="http://schemas.openxmlformats.org/officeDocument/2006/relationships/hyperlink" Id="rId5"/>
    <Relationship TargetMode="External" Target="https://www.legis.iowa.gov/docs/ico/chapter/225C.5.pdf" Type="http://schemas.openxmlformats.org/officeDocument/2006/relationships/hyperlink" Id="rId6"/>
    <Relationship TargetMode="External" Target="https://www.legis.iowa.gov/docs/iac/chapter/655.7.pdf" Type="http://schemas.openxmlformats.org/officeDocument/2006/relationships/hyperlink" Id="rId7"/>
    <Relationship TargetMode="External" Target="https://www.legis.iowa.gov/docs/iac/rule/481.65.4.pdf" Type="http://schemas.openxmlformats.org/officeDocument/2006/relationships/hyperlink" Id="rId8"/>
    <Relationship TargetMode="External" Target="https://www.legis.iowa.gov/docs/ico/chapter/709.pdf" Type="http://schemas.openxmlformats.org/officeDocument/2006/relationships/hyperlink" Id="rId9"/>
    <Relationship TargetMode="External" Target="https://www.legis.iowa.gov/docs/ico/chapter/726.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