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481—63.1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meanings indicated in this chapter. The definitions set out in Iowa Code section </w:t>
      </w:r>
      <w:hyperlink r:id="rId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 person approved by the department who administers, manages, supervises, and is in general administrative charge of a three- to five-bed residential care facility, whether or not such individual has an ownership interest in such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person is physically and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licensed three- to five-bed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within a person’s body of a virus or microbial agents which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state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the resident’s guardian or conservator if one has been appointed or the resident’s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by the use of a mechanical device of a resident’s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help in getting in and out of bed, assistance with personal hygiene and bathing, help with dressing and eating,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on the part of a staff person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licensure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restraint in which a resident is in a face-down position against the floor or another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that daily fee charged for all residents equally and shall include the cost of all minimum services required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“Records”</w:t>
      </w:r>
      <w:r>
        <w:rPr>
          <w:rFonts w:ascii="Times New Roman" w:hAnsi="Times New Roman"/>
          <w:b w:val="false"/>
          <w:i w:val="false"/>
          <w:color w:val="000000"/>
          <w:sz w:val="22"/>
        </w:rPr>
        <w:t> </w:t>
      </w:r>
      <w:r>
        <w:rPr>
          <w:rFonts w:ascii="Times New Roman" w:hAnsi="Times New Roman"/>
          <w:b w:val="false"/>
          <w:i w:val="false"/>
          <w:color w:val="000000"/>
          <w:sz w:val="22"/>
        </w:rPr>
        <w:t>includes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residency agreement required by rule </w:t>
      </w:r>
      <w:hyperlink r:id="rId5">
        <w:r>
          <w:rPr>
            <w:rStyle w:val="Hyperlink"/>
            <w:rFonts w:ascii="Times New Roman" w:hAnsi="Times New Roman"/>
            <w:b w:val="false"/>
            <w:i w:val="false"/>
            <w:color w:val="000000"/>
            <w:sz w:val="22"/>
          </w:rPr>
          <w:t>481—63.12</w:t>
        </w:r>
      </w:hyperlink>
      <w:r>
        <w:rPr>
          <w:rFonts w:ascii="Times New Roman" w:hAnsi="Times New Roman"/>
          <w:b w:val="false"/>
          <w:i w:val="false"/>
          <w:color w:val="000000"/>
          <w:sz w:val="22"/>
        </w:rPr>
        <w:t>(135C) or the resident’s legal representative. In the event that a resident has neither a legal representative nor a person who signed or cosigned the resident’s residency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the measures taken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“Specialized residential care facility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for three- to five-bed residential care facilities serving persons with an intellectual disability, chronic mental illness, a developmental disability or brain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C.1.pdf" Type="http://schemas.openxmlformats.org/officeDocument/2006/relationships/hyperlink" Id="rId4"/>
    <Relationship TargetMode="External" Target="https://www.legis.iowa.gov/docs/iac/rule/481.63.1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