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481—58.14</w:t>
      </w:r>
      <w:r>
        <w:rPr>
          <w:rFonts w:ascii="Times New Roman" w:hAnsi="Times New Roman"/>
          <w:b/>
          <w:i w:val="false"/>
          <w:color w:val="000000"/>
          <w:sz w:val="22"/>
        </w:rPr>
        <w:t xml:space="preserve">(135C) </w:t>
      </w:r>
      <w:r>
        <w:rPr>
          <w:rFonts w:ascii="Times New Roman" w:hAnsi="Times New Roman"/>
          <w:b/>
          <w:i w:val="false"/>
          <w:color w:val="000000"/>
          <w:sz w:val="22"/>
        </w:rPr>
        <w:t xml:space="preserve">Medical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58.14(1)</w:t>
      </w:r>
      <w:r>
        <w:rPr>
          <w:rFonts w:ascii="Times New Roman" w:hAnsi="Times New Roman"/>
          <w:b w:val="false"/>
          <w:i w:val="false"/>
          <w:color w:val="000000"/>
          <w:sz w:val="22"/>
        </w:rPr>
        <w:t> </w:t>
      </w:r>
      <w:r>
        <w:rPr>
          <w:rFonts w:ascii="Times New Roman" w:hAnsi="Times New Roman"/>
          <w:b w:val="false"/>
          <w:i w:val="false"/>
          <w:color w:val="000000"/>
          <w:sz w:val="22"/>
        </w:rPr>
        <w:t>Each resident in a nursing facility shall designate a licensed physician who may be called when needed. Professional management of a resident’s care shall be the responsibility of the hospice program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is terminally ill,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has elected to receive hospice services under the federal Medicare program from a Medicare-certified hospice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and the hospice program have entered into a written agreement under which the hospice program takes full responsibility for the professional management of hospice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58.14(2)</w:t>
      </w:r>
      <w:r>
        <w:rPr>
          <w:rFonts w:ascii="Times New Roman" w:hAnsi="Times New Roman"/>
          <w:b w:val="false"/>
          <w:i w:val="false"/>
          <w:color w:val="000000"/>
          <w:sz w:val="22"/>
        </w:rPr>
        <w:t> </w:t>
      </w:r>
      <w:r>
        <w:rPr>
          <w:rFonts w:ascii="Times New Roman" w:hAnsi="Times New Roman"/>
          <w:b w:val="false"/>
          <w:i w:val="false"/>
          <w:color w:val="000000"/>
          <w:sz w:val="22"/>
        </w:rPr>
        <w:t>Each resident admitted to a nursing facility shall have had a physical examination prior to admission. If the resident is admitted directly from a hospital, a copy of the hospital admission physical and discharge summary may be made part of the record in lieu of an additional physical examination. A record of the examination, signed by the physician or other qualifying health care practitioner, shall be a part of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58.14(3)</w:t>
      </w:r>
      <w:r>
        <w:rPr>
          <w:rFonts w:ascii="Times New Roman" w:hAnsi="Times New Roman"/>
          <w:b w:val="false"/>
          <w:i w:val="false"/>
          <w:color w:val="000000"/>
          <w:sz w:val="22"/>
        </w:rPr>
        <w:t> </w:t>
      </w:r>
      <w:r>
        <w:rPr>
          <w:rFonts w:ascii="Times New Roman" w:hAnsi="Times New Roman"/>
          <w:b w:val="false"/>
          <w:i w:val="false"/>
          <w:color w:val="000000"/>
          <w:sz w:val="22"/>
        </w:rPr>
        <w:t>Arrangements shall be made to have a physician available to furnish medical care in case of emergency.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58.14(4)</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58.14(5)</w:t>
      </w:r>
      <w:r>
        <w:rPr>
          <w:rFonts w:ascii="Times New Roman" w:hAnsi="Times New Roman"/>
          <w:b w:val="false"/>
          <w:i w:val="false"/>
          <w:color w:val="000000"/>
          <w:sz w:val="22"/>
        </w:rPr>
        <w:t> </w:t>
      </w:r>
      <w:r>
        <w:rPr>
          <w:rFonts w:ascii="Times New Roman" w:hAnsi="Times New Roman"/>
          <w:b w:val="false"/>
          <w:i w:val="false"/>
          <w:color w:val="000000"/>
          <w:sz w:val="22"/>
        </w:rPr>
        <w:t>The person in charge shall immediately notify the physician of any accident, injury, or adverse change in the resident’s condition.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58.14(6)</w:t>
      </w:r>
      <w:r>
        <w:rPr>
          <w:rFonts w:ascii="Times New Roman" w:hAnsi="Times New Roman"/>
          <w:b w:val="false"/>
          <w:i w:val="false"/>
          <w:color w:val="000000"/>
          <w:sz w:val="22"/>
        </w:rPr>
        <w:t> </w:t>
      </w:r>
      <w:r>
        <w:rPr>
          <w:rFonts w:ascii="Times New Roman" w:hAnsi="Times New Roman"/>
          <w:b w:val="false"/>
          <w:i w:val="false"/>
          <w:color w:val="000000"/>
          <w:sz w:val="22"/>
        </w:rPr>
        <w:t>A schedule listing the names and telephone numbers of the physicians shall be readily available to nursing staff.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58.14(7)</w:t>
      </w:r>
      <w:r>
        <w:rPr>
          <w:rFonts w:ascii="Times New Roman" w:hAnsi="Times New Roman"/>
          <w:b w:val="false"/>
          <w:i w:val="false"/>
          <w:color w:val="000000"/>
          <w:sz w:val="22"/>
        </w:rPr>
        <w:t> </w:t>
      </w:r>
      <w:r>
        <w:rPr>
          <w:rFonts w:ascii="Times New Roman" w:hAnsi="Times New Roman"/>
          <w:b w:val="false"/>
          <w:i w:val="false"/>
          <w:color w:val="000000"/>
          <w:sz w:val="22"/>
        </w:rPr>
        <w:t>Residents shall be admitted to a nursing facility only on a written order signed by a physician certifying that the individual being admitted requires no greater degree of nursing care than the facility is licensed to provide.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58.14(8)</w:t>
      </w:r>
      <w:r>
        <w:rPr>
          <w:rFonts w:ascii="Times New Roman" w:hAnsi="Times New Roman"/>
          <w:b w:val="false"/>
          <w:i w:val="false"/>
          <w:color w:val="000000"/>
          <w:sz w:val="22"/>
        </w:rPr>
        <w:t> </w:t>
      </w:r>
      <w:r>
        <w:rPr>
          <w:rFonts w:ascii="Times New Roman" w:hAnsi="Times New Roman"/>
          <w:b w:val="false"/>
          <w:i w:val="false"/>
          <w:color w:val="000000"/>
          <w:sz w:val="22"/>
        </w:rPr>
        <w:t>Physician delegation of tasks. Each resident, including private pay residents, shall be visited by or shall visit the resident’s physician at least twice a year. The year period shall be measured from the date of admission and is not to include preadmission physicals.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skilled nursing patient, the resident must be seen by a physician for the initial comprehensive visit. Additional visits are required at least once every 30 days for 90 days after admission and at least once every 60 days thereafter. After the initial comprehensive visit, alternate required visits may be performed by an advanced registered nurse practitioner, clinical nurse specialist or physician associate who is working in collaboration with a physician, as outlined in Table 1.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w:t>
      </w:r>
      <w:r>
        <w:rPr>
          <w:rFonts w:ascii="Times New Roman" w:hAnsi="Times New Roman"/>
          <w:b w:val="false"/>
          <w:i w:val="false"/>
          <w:color w:val="000000"/>
          <w:sz w:val="22"/>
        </w:rPr>
        <w:t>42 CFR 483.40</w:t>
      </w:r>
      <w:r>
        <w:rPr>
          <w:rFonts w:ascii="Times New Roman" w:hAnsi="Times New Roman"/>
          <w:b w:val="false"/>
          <w:i w:val="false"/>
          <w:color w:val="000000"/>
          <w:sz w:val="22"/>
        </w:rPr>
        <w:t>, any required physician task or visit in a nursing facility may also be performed by an advanced registered nurse practitioner, clinical nurse specialist, or physician associate who is working in collaboration with a physician, as outlined in Table 1.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dually certified skilled nursing/nursing facilities, the advanced registered nurse practitioner, clinical nurse specialist, and physician associate must follow the skilled nursing facility requirements for services for skilled nursing facility stays. For nursing facility stays in skilled nursing/nursing facilities, any required physician task or visit may be performed by an advanced registered nurse practitioner, clinical nurse specialist, or physician associate working in collaboration with the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Nurse practitioners, clinical nurse specialists, and physician associates may perform other tasks that are not reserved to the physician such as visits outside the normal schedule needed to address new symptoms or other changes in medical status. (III)</w:t>
      </w:r>
    </w:p>
    <w:p>
      <w:pPr>
        <w:spacing w:before="0" w:after="0"/>
        <w:ind w:left="120"/>
        <w:jc w:val="center"/>
      </w:pPr>
      <w:r>
        <w:rPr>
          <w:rFonts w:ascii="Times New Roman" w:hAnsi="Times New Roman"/>
          <w:b w:val="false"/>
          <w:i w:val="false"/>
          <w:color w:val="000000"/>
          <w:sz w:val="22"/>
        </w:rPr>
        <w:t>Table 1:</w:t>
      </w:r>
      <w:r>
        <w:rPr>
          <w:rFonts w:ascii="Times New Roman" w:hAnsi="Times New Roman"/>
          <w:b w:val="false"/>
          <w:i w:val="false"/>
          <w:color w:val="000000"/>
          <w:sz w:val="22"/>
        </w:rPr>
        <w:t> </w:t>
      </w:r>
    </w:p>
    <w:p>
      <w:pPr>
        <w:spacing w:before="0" w:after="0"/>
        <w:ind w:left="0"/>
        <w:jc w:val="center"/>
      </w:pPr>
      <w:r>
        <w:rPr>
          <w:rFonts w:ascii="Times New Roman" w:hAnsi="Times New Roman"/>
          <w:b w:val="false"/>
          <w:i w:val="false"/>
          <w:color w:val="000000"/>
          <w:sz w:val="22"/>
        </w:rPr>
        <w:t>Authority for non-physician practitioners to perform visits, sign orders, and sign certifications/recertifications when permitted by state law*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96"/>
        <w:gridCol w:w="2466"/>
        <w:gridCol w:w="2350"/>
        <w:gridCol w:w="2235"/>
        <w:gridCol w:w="1773"/>
      </w:tblGrid>
      <w:tr>
        <w:trPr>
          <w:trHeight w:val="61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Initial Comprehensive Visit/Orders</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Other Required Visits</w:t>
            </w:r>
            <w:r>
              <w:rPr>
                <w:rFonts w:ascii="Times New Roman" w:hAnsi="Times New Roman"/>
                <w:b w:val="false"/>
                <w:i w:val="false"/>
                <w:color w:val="000000"/>
                <w:sz w:val="18"/>
                <w:vertAlign w:val="superscript"/>
              </w:rPr>
              <w:t>1</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Other Medically Necessary Visits and Orders</w:t>
            </w:r>
            <w:r>
              <w:rPr>
                <w:rFonts w:ascii="Times New Roman" w:hAnsi="Times New Roman"/>
                <w:b w:val="false"/>
                <w:i w:val="false"/>
                <w:color w:val="000000"/>
                <w:sz w:val="18"/>
                <w:vertAlign w:val="superscript"/>
              </w:rPr>
              <w:t>2</w:t>
            </w:r>
          </w:p>
        </w:tc>
        <w:tc>
          <w:tcPr>
            <w:tcW w:w="177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Certification/</w:t>
            </w:r>
            <w:r>
              <w:br/>
            </w:r>
            <w:r>
              <w:rPr>
                <w:rFonts w:ascii="Times New Roman" w:hAnsi="Times New Roman"/>
                <w:b w:val="false"/>
                <w:i w:val="false"/>
                <w:color w:val="000000"/>
                <w:sz w:val="16"/>
              </w:rPr>
              <w:t>Recertification</w:t>
            </w:r>
          </w:p>
        </w:tc>
      </w:tr>
      <w:tr>
        <w:trPr>
          <w:trHeight w:val="225" w:hRule="atLeast"/>
        </w:trPr>
        <w:tc>
          <w:tcPr>
            <w:tcW w:w="0" w:type="auto"/>
            <w:gridSpan w:val="5"/>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Skilled Nursing Facilities</w:t>
            </w:r>
          </w:p>
        </w:tc>
      </w:tr>
      <w:tr>
        <w:trPr>
          <w:trHeight w:val="76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associate, nurse practitioner and clinical nurse specialist employed by the facility</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perform/May not sign</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alternate visits</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and sign</w:t>
            </w:r>
          </w:p>
        </w:tc>
        <w:tc>
          <w:tcPr>
            <w:tcW w:w="1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sign</w:t>
            </w:r>
          </w:p>
        </w:tc>
      </w:tr>
      <w:tr>
        <w:trPr>
          <w:trHeight w:val="76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associate, nurse practitioner and clinical nurse specialist not a facility employee</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perform/May not sign</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alternate visits</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and sign</w:t>
            </w:r>
          </w:p>
        </w:tc>
        <w:tc>
          <w:tcPr>
            <w:tcW w:w="1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sign subject to state requirements</w:t>
            </w:r>
          </w:p>
        </w:tc>
      </w:tr>
      <w:tr>
        <w:trPr>
          <w:trHeight w:val="225" w:hRule="atLeast"/>
        </w:trPr>
        <w:tc>
          <w:tcPr>
            <w:tcW w:w="0" w:type="auto"/>
            <w:gridSpan w:val="5"/>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Facilities</w:t>
            </w:r>
          </w:p>
        </w:tc>
      </w:tr>
      <w:tr>
        <w:trPr>
          <w:trHeight w:val="76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Nurse practitioner, clinical nurse specialist, and physician associate employed by the facility</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perform/May not sign</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perform</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and sign</w:t>
            </w:r>
          </w:p>
        </w:tc>
        <w:tc>
          <w:tcPr>
            <w:tcW w:w="1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applicable+</w:t>
            </w:r>
          </w:p>
        </w:tc>
      </w:tr>
      <w:tr>
        <w:trPr>
          <w:trHeight w:val="76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Nurse practitioner, clinical nurse specialist, and physician associate not a facility employee</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perform/May sign</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and sign</w:t>
            </w:r>
          </w:p>
        </w:tc>
        <w:tc>
          <w:tcPr>
            <w:tcW w:w="1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applicable+</w:t>
            </w:r>
          </w:p>
        </w:tc>
      </w:tr>
    </w:tbl>
    <w:p>
      <w:pPr>
        <w:spacing w:before="0" w:after="0"/>
        <w:ind w:left="120"/>
        <w:jc w:val="both"/>
      </w:pPr>
      <w:r>
        <w:rPr>
          <w:rFonts w:ascii="Times New Roman" w:hAnsi="Times New Roman"/>
          <w:b w:val="false"/>
          <w:i w:val="false"/>
          <w:color w:val="000000"/>
          <w:sz w:val="22"/>
        </w:rPr>
        <w:t>*As permitted by state law governing the scope and practice of nurse practitioners, clinical nurse specialists, and physician associates.</w:t>
      </w:r>
    </w:p>
    <w:p>
      <w:pPr>
        <w:spacing w:before="0" w:after="0"/>
        <w:ind w:left="120"/>
        <w:jc w:val="both"/>
      </w:pPr>
      <w:r>
        <w:rPr>
          <w:rFonts w:ascii="Times New Roman" w:hAnsi="Times New Roman"/>
          <w:b w:val="false"/>
          <w:i w:val="false"/>
          <w:color w:val="000000"/>
          <w:sz w:val="15"/>
        </w:rPr>
        <w:t>1 Other required visits include the skilled nursing resident monthly visits that may be alternated between physician and advanced registered nurse practitioners, clinical nurse specialists, or physician associates after the initial comprehensive visit is completed.</w:t>
      </w:r>
    </w:p>
    <w:p>
      <w:pPr>
        <w:spacing w:before="0" w:after="0"/>
        <w:ind w:left="120"/>
        <w:jc w:val="both"/>
      </w:pPr>
      <w:r>
        <w:rPr>
          <w:rFonts w:ascii="Times New Roman" w:hAnsi="Times New Roman"/>
          <w:b w:val="false"/>
          <w:i w:val="false"/>
          <w:color w:val="000000"/>
          <w:sz w:val="15"/>
        </w:rPr>
        <w:t>2 Medically necessary visits may be performed prior to the initial comprehensive visit.</w:t>
      </w:r>
    </w:p>
    <w:p>
      <w:pPr>
        <w:spacing w:before="0" w:after="0"/>
        <w:ind w:left="120"/>
        <w:jc w:val="both"/>
      </w:pPr>
      <w:r>
        <w:rPr>
          <w:rFonts w:ascii="Times New Roman" w:hAnsi="Times New Roman"/>
          <w:b w:val="false"/>
          <w:i w:val="false"/>
          <w:color w:val="000000"/>
          <w:sz w:val="15"/>
        </w:rPr>
        <w:t>+ This requirement relates specifically to coverage of Part A Medicare stays, which can take place only in a Medicare-certified skilled nursing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1048C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