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481—57.6</w:t>
      </w:r>
      <w:r>
        <w:rPr>
          <w:rFonts w:ascii="Times New Roman" w:hAnsi="Times New Roman"/>
          <w:b/>
          <w:i w:val="false"/>
          <w:color w:val="000000"/>
          <w:sz w:val="22"/>
        </w:rPr>
        <w:t xml:space="preserve">(135C) </w:t>
      </w:r>
      <w:r>
        <w:rPr>
          <w:rFonts w:ascii="Times New Roman" w:hAnsi="Times New Roman"/>
          <w:b/>
          <w:i w:val="false"/>
          <w:color w:val="000000"/>
          <w:sz w:val="22"/>
        </w:rPr>
        <w:t xml:space="preserve">Special classifications.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57.6(1)</w:t>
      </w:r>
      <w:r>
        <w:rPr>
          <w:rFonts w:ascii="Times New Roman" w:hAnsi="Times New Roman"/>
          <w:b w:val="false"/>
          <w:i w:val="false"/>
          <w:color w:val="000000"/>
          <w:sz w:val="22"/>
        </w:rPr>
        <w:t> </w:t>
      </w:r>
      <w:r>
        <w:rPr>
          <w:rFonts w:ascii="Times New Roman" w:hAnsi="Times New Roman"/>
          <w:b w:val="false"/>
          <w:i/>
          <w:color w:val="000000"/>
          <w:sz w:val="22"/>
        </w:rPr>
        <w:t xml:space="preserve">Memory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application. </w:t>
      </w:r>
      <w:r>
        <w:rPr>
          <w:rFonts w:ascii="Times New Roman" w:hAnsi="Times New Roman"/>
          <w:b w:val="false"/>
          <w:i w:val="false"/>
          <w:color w:val="000000"/>
          <w:sz w:val="22"/>
        </w:rPr>
        <w:t>A residential care facility may choose to care for residents who require memory care in a distinct part of the facility or designate the entire residential care facility as one that provides memory care. Residents in the memory care unit or facility shall meet the level of care requirements for a residential care facility. “Memory care” in a residential care facility means the care of persons with early Alzheimer’s-type dementia or other disorders causing dementia.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 approval to provide this category of care shall be submitted by the licensee on a form provided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to modify the physical environment shall be submitted to the department for review based on the requirements of </w:t>
      </w:r>
      <w:hyperlink r:id="rId4">
        <w:r>
          <w:rPr>
            <w:rStyle w:val="Hyperlink"/>
            <w:rFonts w:ascii="Times New Roman" w:hAnsi="Times New Roman"/>
            <w:b w:val="false"/>
            <w:i w:val="false"/>
            <w:color w:val="000000"/>
            <w:sz w:val="22"/>
          </w:rPr>
          <w:t>481—Chapter 60</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unit or facility is to be a locked unit or facility, all locking devices shall meet the Life Safety Code and any requirements of the state fire marshal. If the unit or facility is to be unlocked, a system of security monitoring is required.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Résumé of care. </w:t>
      </w:r>
      <w:r>
        <w:rPr>
          <w:rFonts w:ascii="Times New Roman" w:hAnsi="Times New Roman"/>
          <w:b w:val="false"/>
          <w:i w:val="false"/>
          <w:color w:val="000000"/>
          <w:sz w:val="22"/>
        </w:rPr>
        <w:t xml:space="preserve">A résumé of care shall be submitted to the department for approval at least 30 days before a separate memory care unit or facility is opened. For facilities with a memory care unit, this résumé of care is in addition to the résumé of care required by subrule </w:t>
      </w:r>
      <w:hyperlink r:id="rId5">
        <w:r>
          <w:rPr>
            <w:rStyle w:val="Hyperlink"/>
            <w:rFonts w:ascii="Times New Roman" w:hAnsi="Times New Roman"/>
            <w:b w:val="false"/>
            <w:i w:val="false"/>
            <w:color w:val="000000"/>
            <w:sz w:val="22"/>
          </w:rPr>
          <w:t>57.3(2)</w:t>
        </w:r>
      </w:hyperlink>
      <w:r>
        <w:rPr>
          <w:rFonts w:ascii="Times New Roman" w:hAnsi="Times New Roman"/>
          <w:b w:val="false"/>
          <w:i w:val="false"/>
          <w:color w:val="000000"/>
          <w:sz w:val="22"/>
        </w:rPr>
        <w:t>. A new résumé of care shall be submitted when services are substantially changed. The résumé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 the population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philosophy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List criteria for transfer to and from the memory care unit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a copy of the floor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List the titles of policies and procedures developed for the unit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Propose a staffing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Set out a plan for specialized staff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State visitor, volunteer, and safety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Describe programs for activities, social services and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Describe the interdisciplinary team and the role of each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Separate written policies and procedures shall be implemented in the memory care unit or facility and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Criteria for admission and the preadmission evaluation process. The policy shall require a statement from the primary care provider approving the placement before a resident may be moved into a memory care unit or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Safety, including a description of the actions required of staff in the event of a fire, natural disaster, emergency medical event or catastrophic event. Safety procedures shall also explain steps to be taken when a resident is discovered to be missing from the unit or facility and when hazardous cleaning materials or potentially dangerous mechanical equipment is being used in the unit or facility and explain the manner in which the effectiveness of the security system will be monitored.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Staffing requirements, including the minimum number, types and qualifications of staff in the unit or facility in accordance with resident needs.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Visitation policies, including suggested times for visitation and ensuring the residents’ rights to free access to visitors unless visits are contraindicated by the interdisciplinary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process and criteria which will be used to monitor and to respond to risks specific to the residents, including but not limited to drug use, restraint use, infections, incidents and acute behavioral events.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Assessment prior to transfer or admission. </w:t>
      </w:r>
      <w:r>
        <w:rPr>
          <w:rFonts w:ascii="Times New Roman" w:hAnsi="Times New Roman"/>
          <w:b w:val="false"/>
          <w:i w:val="false"/>
          <w:color w:val="000000"/>
          <w:sz w:val="22"/>
        </w:rPr>
        <w:t>Prior to the transfer or admission of a resident applicant to the memory care unit or facility, a complete assessment of the resident applicant’s physical, mental, social and behavioral status shall be completed to determine whether the applicant meets admission criteria. This assessment shall be completed by facility staff and shall become part of the resident’s permanent record upon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All staff working in a memory care unit or facility shall have training appropriate to the needs of the residents.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assignment to the unit or facility, all staff working in the unit or facility shall be oriented to the needs of residents requiring memory care. Staff members shall have at least six hours of special training appropriate to their job descriptions within 30 days of assignment to the unit or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shall include the following topics: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explanation of Alzheimer’s disease and related disorders, including symptoms, behavior and disease progression;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family and friends of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of family issues such as role reversal, grief and loss, guilt, relinquishing the caregiving role, and family dynamics;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importance of planned and spontaneous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Skills in providing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Skills in working with challenging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Techniques for cueing, simplifying, and redirecting;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Staff support and stress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nonpharmacological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staff, certified medication aides, medication managers, social services personnel, housekeeping and activity personnel shall have a minimum of six hours of in-service training annually. This training shall be related to the needs of memory care residents. The six-hour initial training required in subparagraph </w:t>
      </w:r>
      <w:hyperlink r:id="rId6">
        <w:r>
          <w:rPr>
            <w:rStyle w:val="Hyperlink"/>
            <w:rFonts w:ascii="Times New Roman" w:hAnsi="Times New Roman"/>
            <w:b w:val="false"/>
            <w:i w:val="false"/>
            <w:color w:val="000000"/>
            <w:sz w:val="22"/>
          </w:rPr>
          <w:t>57.6(1)</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count toward the required annual in-service training.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Staffing. </w:t>
      </w:r>
      <w:r>
        <w:rPr>
          <w:rFonts w:ascii="Times New Roman" w:hAnsi="Times New Roman"/>
          <w:b w:val="false"/>
          <w:i w:val="false"/>
          <w:color w:val="000000"/>
          <w:sz w:val="22"/>
        </w:rPr>
        <w:t>There shall be at least one staff person on a memory care unit at all times.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Others living in the memory care unit. </w:t>
      </w:r>
      <w:r>
        <w:rPr>
          <w:rFonts w:ascii="Times New Roman" w:hAnsi="Times New Roman"/>
          <w:b w:val="false"/>
          <w:i w:val="false"/>
          <w:color w:val="000000"/>
          <w:sz w:val="22"/>
        </w:rPr>
        <w:t>A resident not requiring memory care services may live in the memory care unit if the resident’s spouse requiring memory care services lives in the unit or if no other beds are available in the facility and the resident or the resident’s legal representative consents in writing to the placement.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Revocation, suspension or denial. </w:t>
      </w:r>
      <w:r>
        <w:rPr>
          <w:rFonts w:ascii="Times New Roman" w:hAnsi="Times New Roman"/>
          <w:b w:val="false"/>
          <w:i w:val="false"/>
          <w:color w:val="000000"/>
          <w:sz w:val="22"/>
        </w:rPr>
        <w:t xml:space="preserve">The memory care unit license or facility license may be revoked, suspended or denied pursuant to Iowa Code chapter </w:t>
      </w:r>
      <w:hyperlink r:id="rId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w:t>
      </w:r>
      <w:r>
        <w:rPr>
          <w:rFonts w:ascii="Times New Roman" w:hAnsi="Times New Roman"/>
          <w:b w:val="false"/>
          <w:i w:val="false"/>
          <w:color w:val="000000"/>
          <w:sz w:val="22"/>
        </w:rPr>
        <w:t> </w:t>
      </w:r>
      <w:r>
        <w:rPr>
          <w:rFonts w:ascii="Times New Roman" w:hAnsi="Times New Roman"/>
          <w:b w:val="false"/>
          <w:i/>
          <w:color w:val="000000"/>
          <w:sz w:val="22"/>
        </w:rPr>
        <w:t xml:space="preserve">Residential care facility for persons with an intellectual disability (RCF/ID).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the following term shall have the meaning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intellectual disability professional”</w:t>
      </w:r>
      <w:r>
        <w:rPr>
          <w:rFonts w:ascii="Times New Roman" w:hAnsi="Times New Roman"/>
          <w:b w:val="false"/>
          <w:i w:val="false"/>
          <w:color w:val="000000"/>
          <w:sz w:val="22"/>
        </w:rPr>
        <w:t> </w:t>
      </w:r>
      <w:r>
        <w:rPr>
          <w:rFonts w:ascii="Times New Roman" w:hAnsi="Times New Roman"/>
          <w:b w:val="false"/>
          <w:i w:val="false"/>
          <w:color w:val="000000"/>
          <w:sz w:val="22"/>
        </w:rPr>
        <w:t>means a psychologist, physician, physician associate, registered nurse, educator, social worker, physical or occupational therapist, speech therapist or audiologist who meets the educational requirements for the profession, as required in the state of Iowa, and has one year’s experience working with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application. </w:t>
      </w:r>
      <w:r>
        <w:rPr>
          <w:rFonts w:ascii="Times New Roman" w:hAnsi="Times New Roman"/>
          <w:b w:val="false"/>
          <w:i w:val="false"/>
          <w:color w:val="000000"/>
          <w:sz w:val="22"/>
        </w:rPr>
        <w:t>A residential care facility may choose to care for persons with an intellectual disability in a distinct part of the facility or designate the entire residential care facility as a residential care facility for persons with an intellectual disability. Residents shall meet the level of care requirements for a residential care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 approval to provide this category of care shall be submitted by the licensee on a form provided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to modify the physical environment shall be submitted to the department for review based on the requirements of </w:t>
      </w:r>
      <w:hyperlink r:id="rId9">
        <w:r>
          <w:rPr>
            <w:rStyle w:val="Hyperlink"/>
            <w:rFonts w:ascii="Times New Roman" w:hAnsi="Times New Roman"/>
            <w:b w:val="false"/>
            <w:i w:val="false"/>
            <w:color w:val="000000"/>
            <w:sz w:val="22"/>
          </w:rPr>
          <w:t>481—Chapter 60</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Résumé of care. </w:t>
      </w:r>
      <w:r>
        <w:rPr>
          <w:rFonts w:ascii="Times New Roman" w:hAnsi="Times New Roman"/>
          <w:b w:val="false"/>
          <w:i w:val="false"/>
          <w:color w:val="000000"/>
          <w:sz w:val="22"/>
        </w:rPr>
        <w:t>A résumé of care shall be submitted to the department for approval at least 30 days before a residential care facility for persons with an intellectual disability is opened. A new résumé of care shall be submitted when services are substantially changed. The résumé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 the population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copy of the floor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List the titles of policies and procedures developed for the unit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Set out a plan for specialized staff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State visitor, volunteer, and safety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Describe programs for activities, social services and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Describe the interdisciplinary team and the role of each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Separate written policies and procedures shall be implemented in the residential care facility for persons with an intellectual disability and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Criteria for admission and the preadmission evaluation process. The policy shall require a statement from the primary care provider approving the placement before a resident may be moved into a residential care facility for persons with an intellectual disability. The policy shall require a primary diagnosis of an intellectual disability for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Safety, including a description of the actions required of staff in the event of a fire, natural disaster, emergency medical event or catastrophic event.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Staffing requirements, including the minimum number, types and qualifications of staff in the facility in accordance with resident needs.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Visitation policies, including suggested times for visitation and ensuring the residents’ rights to free access to visitors unless visits are contraindicated by the interdisciplinary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process and criteria which will be used to monitor and to respond to risks specific to the residents, including but not limited to drug use, restraint use, infections, incidents and acute behavioral events.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Assessment prior to transfer or admission. </w:t>
      </w:r>
      <w:r>
        <w:rPr>
          <w:rFonts w:ascii="Times New Roman" w:hAnsi="Times New Roman"/>
          <w:b w:val="false"/>
          <w:i w:val="false"/>
          <w:color w:val="000000"/>
          <w:sz w:val="22"/>
        </w:rPr>
        <w:t>Prior to the transfer or admission of a resident applicant to the facility, a complete assessment of the resident applicant’s physical, mental, social and behavioral status shall be completed to determine whether the applicant meets admission criteria. This assessment shall be completed by facility staff and shall become part of the resident’s permanent record upon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Administrator qualifications. </w:t>
      </w:r>
      <w:r>
        <w:rPr>
          <w:rFonts w:ascii="Times New Roman" w:hAnsi="Times New Roman"/>
          <w:b w:val="false"/>
          <w:i w:val="false"/>
          <w:color w:val="000000"/>
          <w:sz w:val="22"/>
        </w:rPr>
        <w:t xml:space="preserve">In addition to meeting the requirements of </w:t>
      </w:r>
      <w:hyperlink r:id="rId10">
        <w:r>
          <w:rPr>
            <w:rStyle w:val="Hyperlink"/>
            <w:rFonts w:ascii="Times New Roman" w:hAnsi="Times New Roman"/>
            <w:b w:val="false"/>
            <w:i w:val="false"/>
            <w:color w:val="000000"/>
            <w:sz w:val="22"/>
          </w:rPr>
          <w:t>subrule 57.10(1)</w:t>
        </w:r>
      </w:hyperlink>
      <w:r>
        <w:rPr>
          <w:rFonts w:ascii="Times New Roman" w:hAnsi="Times New Roman"/>
          <w:b w:val="false"/>
          <w:i w:val="false"/>
          <w:color w:val="000000"/>
          <w:sz w:val="22"/>
        </w:rPr>
        <w:t>, the administrator of a residential care facility for persons with an intellectual disability shall have at least one year’s documented experience in direct care or supervision of persons with an intellectual disability. An individual employed as an administrator on May 16, 2018, will be deemed to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In-service educational programming. </w:t>
      </w:r>
      <w:r>
        <w:rPr>
          <w:rFonts w:ascii="Times New Roman" w:hAnsi="Times New Roman"/>
          <w:b w:val="false"/>
          <w:i w:val="false"/>
          <w:color w:val="000000"/>
          <w:sz w:val="22"/>
        </w:rPr>
        <w:t xml:space="preserve">The in-service educational programming required by </w:t>
      </w:r>
      <w:hyperlink r:id="rId11">
        <w:r>
          <w:rPr>
            <w:rStyle w:val="Hyperlink"/>
            <w:rFonts w:ascii="Times New Roman" w:hAnsi="Times New Roman"/>
            <w:b w:val="false"/>
            <w:i w:val="false"/>
            <w:color w:val="000000"/>
            <w:sz w:val="22"/>
          </w:rPr>
          <w:t>paragraph 57.10(2)</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include educational programming specific to serving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Revocation, suspension or denial. </w:t>
      </w:r>
      <w:r>
        <w:rPr>
          <w:rFonts w:ascii="Times New Roman" w:hAnsi="Times New Roman"/>
          <w:b w:val="false"/>
          <w:i w:val="false"/>
          <w:color w:val="000000"/>
          <w:sz w:val="22"/>
        </w:rPr>
        <w:t xml:space="preserve">The facility license may be revoked, suspended or denied pursuant to Iowa Code chapter </w:t>
      </w:r>
      <w:hyperlink r:id="rId1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135C.2(3)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3737C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6974C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60.pdf" Type="http://schemas.openxmlformats.org/officeDocument/2006/relationships/hyperlink" Id="rId4"/>
    <Relationship TargetMode="External" Target="https://www.legis.iowa.gov/docs/iac/rule/481.57.3.pdf" Type="http://schemas.openxmlformats.org/officeDocument/2006/relationships/hyperlink" Id="rId5"/>
    <Relationship TargetMode="External" Target="https://www.legis.iowa.gov/docs/iac/rule/481.57.6.pdf" Type="http://schemas.openxmlformats.org/officeDocument/2006/relationships/hyperlink" Id="rId6"/>
    <Relationship TargetMode="External" Target="https://www.legis.iowa.gov/docs/ico/chapter/135C.pdf" Type="http://schemas.openxmlformats.org/officeDocument/2006/relationships/hyperlink" Id="rId7"/>
    <Relationship TargetMode="External" Target="https://www.legis.iowa.gov/docs/iac/chapter/481.50.pdf" Type="http://schemas.openxmlformats.org/officeDocument/2006/relationships/hyperlink" Id="rId8"/>
    <Relationship TargetMode="External" Target="https://www.legis.iowa.gov/docs/iac/chapter/481.60.pdf" Type="http://schemas.openxmlformats.org/officeDocument/2006/relationships/hyperlink" Id="rId9"/>
    <Relationship TargetMode="External" Target="https://www.legis.iowa.gov/docs/iac/rule/481.57.10.pdf" Type="http://schemas.openxmlformats.org/officeDocument/2006/relationships/hyperlink" Id="rId10"/>
    <Relationship TargetMode="External" Target="https://www.legis.iowa.gov/docs/iac/rule/481.57.10.pdf" Type="http://schemas.openxmlformats.org/officeDocument/2006/relationships/hyperlink" Id="rId11"/>
    <Relationship TargetMode="External" Target="https://www.legis.iowa.gov/docs/ico/chapter/135C.pdf" Type="http://schemas.openxmlformats.org/officeDocument/2006/relationships/hyperlink" Id="rId12"/>
    <Relationship TargetMode="External" Target="https://www.legis.iowa.gov/docs/iac/chapter/481.50.pdf" Type="http://schemas.openxmlformats.org/officeDocument/2006/relationships/hyperlink" Id="rId13"/>
    <Relationship TargetMode="External" Target="https://www.legis.iowa.gov/docs/ico/chapter/135C.2.pdf" Type="http://schemas.openxmlformats.org/officeDocument/2006/relationships/hyperlink" Id="rId14"/>
    <Relationship TargetMode="External" Target="https://www.legis.iowa.gov/docs/ico/chapter/135C.14.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